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766"/>
        <w:gridCol w:w="846"/>
        <w:gridCol w:w="3705"/>
        <w:gridCol w:w="2317"/>
      </w:tblGrid>
      <w:tr w:rsidR="00A83E20" w:rsidRPr="00F10D05" w14:paraId="1D63B4C6" w14:textId="358EA836" w:rsidTr="004C29A6">
        <w:tc>
          <w:tcPr>
            <w:tcW w:w="2766" w:type="dxa"/>
            <w:vMerge w:val="restart"/>
            <w:tcBorders>
              <w:top w:val="nil"/>
              <w:left w:val="nil"/>
              <w:bottom w:val="nil"/>
              <w:right w:val="nil"/>
            </w:tcBorders>
          </w:tcPr>
          <w:p w14:paraId="39C83D78" w14:textId="0C71E316" w:rsidR="00167960" w:rsidRPr="00F10D05" w:rsidRDefault="00BC4B11" w:rsidP="00E51E88">
            <w:pPr>
              <w:jc w:val="both"/>
              <w:rPr>
                <w:rFonts w:cs="Arial"/>
                <w:sz w:val="20"/>
                <w:szCs w:val="20"/>
                <w:lang w:val="hu-HU"/>
              </w:rPr>
            </w:pPr>
            <w:r w:rsidRPr="00BC4B11">
              <w:rPr>
                <w:rFonts w:cs="Arial"/>
                <w:noProof/>
                <w:sz w:val="20"/>
                <w:szCs w:val="20"/>
              </w:rPr>
              <w:drawing>
                <wp:anchor distT="0" distB="0" distL="114300" distR="114300" simplePos="0" relativeHeight="251658243" behindDoc="0" locked="0" layoutInCell="1" allowOverlap="1" wp14:anchorId="0506464A" wp14:editId="777346E5">
                  <wp:simplePos x="0" y="0"/>
                  <wp:positionH relativeFrom="column">
                    <wp:posOffset>-74295</wp:posOffset>
                  </wp:positionH>
                  <wp:positionV relativeFrom="paragraph">
                    <wp:posOffset>45720</wp:posOffset>
                  </wp:positionV>
                  <wp:extent cx="1330657" cy="1791054"/>
                  <wp:effectExtent l="0" t="0" r="317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0657" cy="1791054"/>
                          </a:xfrm>
                          <a:prstGeom prst="rect">
                            <a:avLst/>
                          </a:prstGeom>
                        </pic:spPr>
                      </pic:pic>
                    </a:graphicData>
                  </a:graphic>
                  <wp14:sizeRelH relativeFrom="margin">
                    <wp14:pctWidth>0</wp14:pctWidth>
                  </wp14:sizeRelH>
                  <wp14:sizeRelV relativeFrom="margin">
                    <wp14:pctHeight>0</wp14:pctHeight>
                  </wp14:sizeRelV>
                </wp:anchor>
              </w:drawing>
            </w:r>
            <w:r w:rsidR="00367744" w:rsidRPr="00F10D05">
              <w:rPr>
                <w:rFonts w:cs="Arial"/>
                <w:noProof/>
                <w:sz w:val="20"/>
                <w:szCs w:val="20"/>
                <w:lang w:val="hu-HU"/>
              </w:rPr>
              <w:t xml:space="preserve"> </w:t>
            </w:r>
          </w:p>
        </w:tc>
        <w:tc>
          <w:tcPr>
            <w:tcW w:w="846" w:type="dxa"/>
            <w:tcBorders>
              <w:top w:val="nil"/>
              <w:left w:val="nil"/>
              <w:bottom w:val="nil"/>
              <w:right w:val="nil"/>
            </w:tcBorders>
          </w:tcPr>
          <w:p w14:paraId="0A6C84AF" w14:textId="6B7897DA" w:rsidR="004C29A6" w:rsidRPr="00F10D05" w:rsidRDefault="004C29A6" w:rsidP="00E51E88">
            <w:pPr>
              <w:jc w:val="both"/>
              <w:rPr>
                <w:rFonts w:cs="Arial"/>
                <w:noProof/>
                <w:sz w:val="20"/>
                <w:szCs w:val="20"/>
                <w:lang w:val="hu-HU"/>
              </w:rPr>
            </w:pPr>
          </w:p>
          <w:p w14:paraId="51EAF3A4" w14:textId="6A01F9C3" w:rsidR="00542171" w:rsidRPr="00F10D05" w:rsidRDefault="00542171" w:rsidP="00E51E88">
            <w:pPr>
              <w:jc w:val="both"/>
              <w:rPr>
                <w:rFonts w:cs="Arial"/>
                <w:noProof/>
                <w:sz w:val="20"/>
                <w:szCs w:val="20"/>
                <w:lang w:val="hu-HU"/>
              </w:rPr>
            </w:pPr>
          </w:p>
        </w:tc>
        <w:tc>
          <w:tcPr>
            <w:tcW w:w="3705" w:type="dxa"/>
            <w:tcBorders>
              <w:top w:val="nil"/>
              <w:left w:val="nil"/>
              <w:bottom w:val="nil"/>
              <w:right w:val="nil"/>
            </w:tcBorders>
          </w:tcPr>
          <w:p w14:paraId="3D91CC9F" w14:textId="4FAE45C7" w:rsidR="00167960" w:rsidRPr="00F10D05" w:rsidRDefault="00167960" w:rsidP="00E51E88">
            <w:pPr>
              <w:jc w:val="both"/>
              <w:rPr>
                <w:rFonts w:cs="Arial"/>
                <w:noProof/>
                <w:sz w:val="20"/>
                <w:szCs w:val="20"/>
                <w:lang w:val="hu-HU"/>
              </w:rPr>
            </w:pPr>
          </w:p>
        </w:tc>
        <w:tc>
          <w:tcPr>
            <w:tcW w:w="2317" w:type="dxa"/>
            <w:vMerge w:val="restart"/>
            <w:tcBorders>
              <w:top w:val="nil"/>
              <w:left w:val="nil"/>
              <w:bottom w:val="nil"/>
              <w:right w:val="nil"/>
            </w:tcBorders>
          </w:tcPr>
          <w:p w14:paraId="3CD7EFCA" w14:textId="60F1CBA0" w:rsidR="00167960" w:rsidRPr="00F10D05" w:rsidRDefault="004A55CB" w:rsidP="00E51E88">
            <w:pPr>
              <w:jc w:val="both"/>
              <w:rPr>
                <w:rFonts w:cs="Arial"/>
                <w:noProof/>
                <w:sz w:val="20"/>
                <w:szCs w:val="20"/>
                <w:lang w:val="hu-HU"/>
              </w:rPr>
            </w:pPr>
            <w:r w:rsidRPr="00A83E20">
              <w:rPr>
                <w:rFonts w:cs="Arial"/>
                <w:noProof/>
                <w:sz w:val="20"/>
                <w:szCs w:val="20"/>
              </w:rPr>
              <w:drawing>
                <wp:anchor distT="0" distB="0" distL="114300" distR="114300" simplePos="0" relativeHeight="251658244" behindDoc="0" locked="0" layoutInCell="1" allowOverlap="1" wp14:anchorId="50F34E72" wp14:editId="1B45CF33">
                  <wp:simplePos x="0" y="0"/>
                  <wp:positionH relativeFrom="column">
                    <wp:posOffset>-269240</wp:posOffset>
                  </wp:positionH>
                  <wp:positionV relativeFrom="paragraph">
                    <wp:posOffset>558800</wp:posOffset>
                  </wp:positionV>
                  <wp:extent cx="1047115" cy="1104900"/>
                  <wp:effectExtent l="133350" t="133350" r="153035" b="13335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115" cy="1104900"/>
                          </a:xfrm>
                          <a:prstGeom prst="ellipse">
                            <a:avLst/>
                          </a:prstGeom>
                          <a:ln w="190500" cap="rnd">
                            <a:no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tc>
      </w:tr>
      <w:tr w:rsidR="00A83E20" w:rsidRPr="00F10D05" w14:paraId="4FE02302" w14:textId="2F4318BB" w:rsidTr="004C29A6">
        <w:tc>
          <w:tcPr>
            <w:tcW w:w="2766" w:type="dxa"/>
            <w:vMerge/>
            <w:tcBorders>
              <w:top w:val="nil"/>
              <w:left w:val="nil"/>
              <w:bottom w:val="nil"/>
              <w:right w:val="nil"/>
            </w:tcBorders>
          </w:tcPr>
          <w:p w14:paraId="5392625E" w14:textId="77777777" w:rsidR="00167960" w:rsidRPr="00F10D05" w:rsidRDefault="00167960" w:rsidP="00E51E88">
            <w:pPr>
              <w:jc w:val="both"/>
              <w:rPr>
                <w:rFonts w:cs="Arial"/>
                <w:sz w:val="20"/>
                <w:szCs w:val="20"/>
                <w:lang w:val="hu-HU"/>
              </w:rPr>
            </w:pPr>
          </w:p>
        </w:tc>
        <w:tc>
          <w:tcPr>
            <w:tcW w:w="846" w:type="dxa"/>
            <w:tcBorders>
              <w:top w:val="nil"/>
              <w:left w:val="nil"/>
              <w:bottom w:val="nil"/>
              <w:right w:val="nil"/>
            </w:tcBorders>
          </w:tcPr>
          <w:p w14:paraId="31D4954E" w14:textId="19DDEC86" w:rsidR="00167960" w:rsidRPr="00F10D05" w:rsidRDefault="00167960" w:rsidP="00E51E88">
            <w:pPr>
              <w:jc w:val="both"/>
              <w:rPr>
                <w:rFonts w:cs="Arial"/>
                <w:sz w:val="20"/>
                <w:szCs w:val="20"/>
                <w:lang w:val="hu-HU"/>
              </w:rPr>
            </w:pPr>
          </w:p>
        </w:tc>
        <w:tc>
          <w:tcPr>
            <w:tcW w:w="3705" w:type="dxa"/>
            <w:tcBorders>
              <w:top w:val="nil"/>
              <w:left w:val="nil"/>
              <w:bottom w:val="nil"/>
              <w:right w:val="nil"/>
            </w:tcBorders>
          </w:tcPr>
          <w:p w14:paraId="559F4082" w14:textId="4A8645AB" w:rsidR="00167960" w:rsidRPr="00F10D05" w:rsidRDefault="00167960" w:rsidP="00E51E88">
            <w:pPr>
              <w:jc w:val="both"/>
              <w:rPr>
                <w:rFonts w:cs="Arial"/>
                <w:sz w:val="20"/>
                <w:szCs w:val="20"/>
                <w:lang w:val="hu-HU"/>
              </w:rPr>
            </w:pPr>
          </w:p>
          <w:p w14:paraId="19DC5D58" w14:textId="23E6D694" w:rsidR="00167960" w:rsidRPr="00F10D05" w:rsidRDefault="00167960" w:rsidP="00E51E88">
            <w:pPr>
              <w:jc w:val="both"/>
              <w:rPr>
                <w:rFonts w:cs="Arial"/>
                <w:sz w:val="20"/>
                <w:szCs w:val="20"/>
                <w:lang w:val="hu-HU"/>
              </w:rPr>
            </w:pPr>
          </w:p>
          <w:p w14:paraId="43708D0E" w14:textId="2F627741" w:rsidR="00167960" w:rsidRPr="00F10D05" w:rsidRDefault="00167960" w:rsidP="00E51E88">
            <w:pPr>
              <w:jc w:val="both"/>
              <w:rPr>
                <w:rFonts w:cs="Arial"/>
                <w:sz w:val="20"/>
                <w:szCs w:val="20"/>
                <w:lang w:val="hu-HU"/>
              </w:rPr>
            </w:pPr>
          </w:p>
        </w:tc>
        <w:tc>
          <w:tcPr>
            <w:tcW w:w="2317" w:type="dxa"/>
            <w:vMerge/>
            <w:tcBorders>
              <w:top w:val="nil"/>
              <w:left w:val="nil"/>
              <w:bottom w:val="nil"/>
              <w:right w:val="nil"/>
            </w:tcBorders>
          </w:tcPr>
          <w:p w14:paraId="3C18839E" w14:textId="77777777" w:rsidR="00167960" w:rsidRPr="00F10D05" w:rsidRDefault="00167960" w:rsidP="00E51E88">
            <w:pPr>
              <w:jc w:val="both"/>
              <w:rPr>
                <w:rFonts w:cs="Arial"/>
                <w:noProof/>
                <w:sz w:val="20"/>
                <w:szCs w:val="20"/>
                <w:lang w:val="hu-HU"/>
              </w:rPr>
            </w:pPr>
          </w:p>
        </w:tc>
      </w:tr>
      <w:tr w:rsidR="00A83E20" w:rsidRPr="00F10D05" w14:paraId="1F606947" w14:textId="223C9BED" w:rsidTr="004C29A6">
        <w:trPr>
          <w:trHeight w:val="1120"/>
        </w:trPr>
        <w:tc>
          <w:tcPr>
            <w:tcW w:w="2766" w:type="dxa"/>
            <w:vMerge/>
            <w:tcBorders>
              <w:top w:val="nil"/>
              <w:left w:val="nil"/>
              <w:bottom w:val="nil"/>
              <w:right w:val="nil"/>
            </w:tcBorders>
          </w:tcPr>
          <w:p w14:paraId="64ABE428" w14:textId="77777777" w:rsidR="00167960" w:rsidRPr="00F10D05" w:rsidRDefault="00167960" w:rsidP="00E51E88">
            <w:pPr>
              <w:jc w:val="both"/>
              <w:rPr>
                <w:rFonts w:cs="Arial"/>
                <w:sz w:val="20"/>
                <w:szCs w:val="20"/>
                <w:lang w:val="hu-HU"/>
              </w:rPr>
            </w:pPr>
          </w:p>
        </w:tc>
        <w:tc>
          <w:tcPr>
            <w:tcW w:w="846" w:type="dxa"/>
            <w:tcBorders>
              <w:top w:val="nil"/>
              <w:left w:val="nil"/>
              <w:bottom w:val="nil"/>
              <w:right w:val="nil"/>
            </w:tcBorders>
          </w:tcPr>
          <w:p w14:paraId="5574B921" w14:textId="28DE6DF1" w:rsidR="004C29A6" w:rsidRPr="00F10D05" w:rsidRDefault="004C29A6" w:rsidP="00E51E88">
            <w:pPr>
              <w:jc w:val="both"/>
              <w:rPr>
                <w:rFonts w:cs="Arial"/>
                <w:noProof/>
                <w:sz w:val="20"/>
                <w:szCs w:val="20"/>
                <w:lang w:val="hu-HU"/>
              </w:rPr>
            </w:pPr>
          </w:p>
          <w:p w14:paraId="315CC9F8" w14:textId="2212C8D5" w:rsidR="00167960" w:rsidRPr="00F10D05" w:rsidRDefault="00167960" w:rsidP="00E51E88">
            <w:pPr>
              <w:jc w:val="both"/>
              <w:rPr>
                <w:rFonts w:cs="Arial"/>
                <w:sz w:val="20"/>
                <w:szCs w:val="20"/>
                <w:lang w:val="hu-HU"/>
              </w:rPr>
            </w:pPr>
          </w:p>
        </w:tc>
        <w:tc>
          <w:tcPr>
            <w:tcW w:w="3705" w:type="dxa"/>
            <w:tcBorders>
              <w:top w:val="nil"/>
              <w:left w:val="nil"/>
              <w:bottom w:val="nil"/>
              <w:right w:val="nil"/>
            </w:tcBorders>
          </w:tcPr>
          <w:p w14:paraId="4EE09CE8" w14:textId="082184C8" w:rsidR="00167960" w:rsidRPr="00F10D05" w:rsidRDefault="004A55CB" w:rsidP="00E51E88">
            <w:pPr>
              <w:jc w:val="both"/>
              <w:rPr>
                <w:rFonts w:cs="Arial"/>
                <w:sz w:val="20"/>
                <w:szCs w:val="20"/>
                <w:lang w:val="hu-HU"/>
              </w:rPr>
            </w:pPr>
            <w:r w:rsidRPr="00852902">
              <w:rPr>
                <w:rFonts w:cs="Arial"/>
                <w:noProof/>
                <w:sz w:val="20"/>
                <w:szCs w:val="20"/>
              </w:rPr>
              <w:drawing>
                <wp:anchor distT="0" distB="0" distL="114300" distR="114300" simplePos="0" relativeHeight="251658245" behindDoc="0" locked="0" layoutInCell="1" allowOverlap="1" wp14:anchorId="2E478639" wp14:editId="24D2ADD0">
                  <wp:simplePos x="0" y="0"/>
                  <wp:positionH relativeFrom="column">
                    <wp:posOffset>-536575</wp:posOffset>
                  </wp:positionH>
                  <wp:positionV relativeFrom="paragraph">
                    <wp:posOffset>-190500</wp:posOffset>
                  </wp:positionV>
                  <wp:extent cx="2108579" cy="1127504"/>
                  <wp:effectExtent l="133350" t="57150" r="82550" b="130175"/>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8579" cy="112750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34831FFA" w14:textId="4BC4994A" w:rsidR="00167960" w:rsidRPr="00F10D05" w:rsidRDefault="00167960" w:rsidP="00E51E88">
            <w:pPr>
              <w:jc w:val="both"/>
              <w:rPr>
                <w:rFonts w:cs="Arial"/>
                <w:sz w:val="20"/>
                <w:szCs w:val="20"/>
                <w:lang w:val="hu-HU"/>
              </w:rPr>
            </w:pPr>
          </w:p>
          <w:p w14:paraId="4FBCF719" w14:textId="07340AFF" w:rsidR="00167960" w:rsidRPr="00F10D05" w:rsidRDefault="00167960" w:rsidP="00E51E88">
            <w:pPr>
              <w:jc w:val="both"/>
              <w:rPr>
                <w:rFonts w:cs="Arial"/>
                <w:sz w:val="20"/>
                <w:szCs w:val="20"/>
                <w:lang w:val="hu-HU"/>
              </w:rPr>
            </w:pPr>
          </w:p>
        </w:tc>
        <w:tc>
          <w:tcPr>
            <w:tcW w:w="2317" w:type="dxa"/>
            <w:vMerge/>
            <w:tcBorders>
              <w:top w:val="nil"/>
              <w:left w:val="nil"/>
              <w:bottom w:val="nil"/>
              <w:right w:val="nil"/>
            </w:tcBorders>
          </w:tcPr>
          <w:p w14:paraId="0A369317" w14:textId="77777777" w:rsidR="00167960" w:rsidRPr="00F10D05" w:rsidRDefault="00167960" w:rsidP="00E51E88">
            <w:pPr>
              <w:jc w:val="both"/>
              <w:rPr>
                <w:rFonts w:cs="Arial"/>
                <w:noProof/>
                <w:sz w:val="20"/>
                <w:szCs w:val="20"/>
                <w:lang w:val="hu-HU"/>
              </w:rPr>
            </w:pPr>
          </w:p>
        </w:tc>
      </w:tr>
    </w:tbl>
    <w:p w14:paraId="74D4900E" w14:textId="19335287" w:rsidR="001675E9" w:rsidRPr="00F10D05" w:rsidRDefault="001675E9" w:rsidP="00E51E88">
      <w:pPr>
        <w:jc w:val="both"/>
        <w:rPr>
          <w:rFonts w:ascii="Arial" w:hAnsi="Arial" w:cs="Arial"/>
          <w:sz w:val="20"/>
          <w:szCs w:val="20"/>
        </w:rPr>
      </w:pPr>
    </w:p>
    <w:p w14:paraId="21650977" w14:textId="77777777" w:rsidR="00083D05" w:rsidRPr="00F10D05" w:rsidRDefault="00083D05" w:rsidP="00E51E88">
      <w:pPr>
        <w:jc w:val="both"/>
        <w:rPr>
          <w:rFonts w:ascii="Arial" w:hAnsi="Arial" w:cs="Arial"/>
          <w:sz w:val="20"/>
          <w:szCs w:val="20"/>
        </w:rPr>
      </w:pPr>
    </w:p>
    <w:tbl>
      <w:tblPr>
        <w:tblStyle w:val="TableGrid"/>
        <w:tblpPr w:leftFromText="141" w:rightFromText="141" w:vertAnchor="text" w:tblpY="1"/>
        <w:tblOverlap w:val="never"/>
        <w:tblW w:w="9634" w:type="dxa"/>
        <w:tblLook w:val="04A0" w:firstRow="1" w:lastRow="0" w:firstColumn="1" w:lastColumn="0" w:noHBand="0" w:noVBand="1"/>
      </w:tblPr>
      <w:tblGrid>
        <w:gridCol w:w="2689"/>
        <w:gridCol w:w="6945"/>
      </w:tblGrid>
      <w:tr w:rsidR="002863ED" w:rsidRPr="00F10D05" w14:paraId="35896A54" w14:textId="77777777" w:rsidTr="004A55CB">
        <w:tc>
          <w:tcPr>
            <w:tcW w:w="9634" w:type="dxa"/>
            <w:gridSpan w:val="2"/>
            <w:shd w:val="clear" w:color="auto" w:fill="000000" w:themeFill="text1"/>
          </w:tcPr>
          <w:p w14:paraId="13EAE615" w14:textId="3EE3B1A7" w:rsidR="002863ED" w:rsidRPr="00214474" w:rsidRDefault="002863ED" w:rsidP="00AF7D52">
            <w:pPr>
              <w:spacing w:before="120" w:after="120"/>
              <w:jc w:val="center"/>
              <w:rPr>
                <w:rFonts w:cs="Arial"/>
                <w:color w:val="FFFFFF" w:themeColor="background1"/>
                <w:sz w:val="28"/>
                <w:szCs w:val="28"/>
                <w:shd w:val="clear" w:color="auto" w:fill="000000" w:themeFill="text1"/>
                <w:lang w:val="hu-HU"/>
              </w:rPr>
            </w:pPr>
            <w:r w:rsidRPr="00214474">
              <w:rPr>
                <w:rFonts w:cs="Arial"/>
                <w:sz w:val="28"/>
                <w:szCs w:val="28"/>
                <w:lang w:val="hu-HU"/>
              </w:rPr>
              <w:t>TERMÉKINFOMRÁCIÓ</w:t>
            </w:r>
          </w:p>
        </w:tc>
      </w:tr>
      <w:tr w:rsidR="002863ED" w:rsidRPr="00F10D05" w14:paraId="57B427BA" w14:textId="77777777" w:rsidTr="004A55CB">
        <w:tc>
          <w:tcPr>
            <w:tcW w:w="2689" w:type="dxa"/>
          </w:tcPr>
          <w:p w14:paraId="7F3FA184" w14:textId="2010329E" w:rsidR="002863ED" w:rsidRPr="00F10D05" w:rsidRDefault="002863ED" w:rsidP="00AF7D52">
            <w:pPr>
              <w:spacing w:before="120" w:after="120"/>
              <w:jc w:val="both"/>
              <w:rPr>
                <w:rFonts w:cs="Arial"/>
                <w:sz w:val="20"/>
                <w:szCs w:val="20"/>
                <w:lang w:val="hu-HU"/>
              </w:rPr>
            </w:pPr>
            <w:r w:rsidRPr="00F10D05">
              <w:rPr>
                <w:rFonts w:cs="Arial"/>
                <w:sz w:val="20"/>
                <w:szCs w:val="20"/>
                <w:lang w:val="hu-HU"/>
              </w:rPr>
              <w:t>Felhasználási terület</w:t>
            </w:r>
          </w:p>
        </w:tc>
        <w:tc>
          <w:tcPr>
            <w:tcW w:w="6945" w:type="dxa"/>
          </w:tcPr>
          <w:p w14:paraId="51B07775" w14:textId="77777777" w:rsidR="00A4067C" w:rsidRPr="00EA2EE4" w:rsidRDefault="004265EF" w:rsidP="00AF7D52">
            <w:pPr>
              <w:spacing w:before="120" w:after="120"/>
              <w:jc w:val="both"/>
              <w:rPr>
                <w:sz w:val="20"/>
                <w:szCs w:val="20"/>
                <w:lang w:val="hu-HU"/>
              </w:rPr>
            </w:pPr>
            <w:r w:rsidRPr="00EA2EE4">
              <w:rPr>
                <w:sz w:val="20"/>
                <w:szCs w:val="20"/>
                <w:lang w:val="hu-HU"/>
              </w:rPr>
              <w:t xml:space="preserve">Kültéri vízbázisú, gyorsan száradó selyemfényű lazúr. Natúr és korábban impregnált fafelületek bevonására és tartós védelmére. </w:t>
            </w:r>
            <w:proofErr w:type="spellStart"/>
            <w:r w:rsidRPr="00EA2EE4">
              <w:rPr>
                <w:sz w:val="20"/>
                <w:szCs w:val="20"/>
                <w:lang w:val="hu-HU"/>
              </w:rPr>
              <w:t>StayClean</w:t>
            </w:r>
            <w:proofErr w:type="spellEnd"/>
            <w:r w:rsidRPr="00EA2EE4">
              <w:rPr>
                <w:sz w:val="20"/>
                <w:szCs w:val="20"/>
                <w:lang w:val="hu-HU"/>
              </w:rPr>
              <w:t xml:space="preserve">® </w:t>
            </w:r>
            <w:proofErr w:type="spellStart"/>
            <w:r w:rsidRPr="00EA2EE4">
              <w:rPr>
                <w:sz w:val="20"/>
                <w:szCs w:val="20"/>
                <w:lang w:val="hu-HU"/>
              </w:rPr>
              <w:t>Technology</w:t>
            </w:r>
            <w:proofErr w:type="spellEnd"/>
            <w:r w:rsidRPr="00EA2EE4">
              <w:rPr>
                <w:sz w:val="20"/>
                <w:szCs w:val="20"/>
                <w:lang w:val="hu-HU"/>
              </w:rPr>
              <w:t xml:space="preserve">: Öntisztuló bevonat. </w:t>
            </w:r>
          </w:p>
          <w:p w14:paraId="2BA50FD1" w14:textId="77777777" w:rsidR="00A4067C" w:rsidRPr="00EA2EE4" w:rsidRDefault="004265EF" w:rsidP="00AF7D52">
            <w:pPr>
              <w:spacing w:before="120" w:after="120"/>
              <w:jc w:val="both"/>
              <w:rPr>
                <w:sz w:val="20"/>
                <w:szCs w:val="20"/>
                <w:lang w:val="hu-HU"/>
              </w:rPr>
            </w:pPr>
            <w:r w:rsidRPr="00EA2EE4">
              <w:rPr>
                <w:sz w:val="20"/>
                <w:szCs w:val="20"/>
                <w:lang w:val="hu-HU"/>
              </w:rPr>
              <w:t xml:space="preserve">A </w:t>
            </w:r>
            <w:proofErr w:type="spellStart"/>
            <w:r w:rsidRPr="00EA2EE4">
              <w:rPr>
                <w:sz w:val="20"/>
                <w:szCs w:val="20"/>
                <w:lang w:val="hu-HU"/>
              </w:rPr>
              <w:t>StayClean</w:t>
            </w:r>
            <w:proofErr w:type="spellEnd"/>
            <w:r w:rsidRPr="00EA2EE4">
              <w:rPr>
                <w:sz w:val="20"/>
                <w:szCs w:val="20"/>
                <w:lang w:val="hu-HU"/>
              </w:rPr>
              <w:t xml:space="preserve">® technológiával kezelt </w:t>
            </w:r>
            <w:proofErr w:type="spellStart"/>
            <w:r w:rsidRPr="00EA2EE4">
              <w:rPr>
                <w:sz w:val="20"/>
                <w:szCs w:val="20"/>
                <w:lang w:val="hu-HU"/>
              </w:rPr>
              <w:t>felületkről</w:t>
            </w:r>
            <w:proofErr w:type="spellEnd"/>
            <w:r w:rsidRPr="00EA2EE4">
              <w:rPr>
                <w:sz w:val="20"/>
                <w:szCs w:val="20"/>
                <w:lang w:val="hu-HU"/>
              </w:rPr>
              <w:t xml:space="preserve"> a vízcseppek (pl.: eső) hidrofil hatás révén legördülnek, magukkal sodorva a felületre rakódó környezeti szennyeződéseket (kosz, por), amelyek így nem tudnak megtapadni a bevonaton. Az aktív részecskék segítségével öntisztuló felület, így amellett, hogy tisztább és esztétikusabb, minden eddiginél tartósabb és ellenállóbb fafelületet eredményez. </w:t>
            </w:r>
          </w:p>
          <w:p w14:paraId="1B6F32F9" w14:textId="77777777" w:rsidR="00D62128" w:rsidRPr="00EA2EE4" w:rsidRDefault="004265EF" w:rsidP="00AF7D52">
            <w:pPr>
              <w:spacing w:before="120" w:after="120"/>
              <w:jc w:val="both"/>
              <w:rPr>
                <w:sz w:val="20"/>
                <w:szCs w:val="20"/>
                <w:lang w:val="hu-HU"/>
              </w:rPr>
            </w:pPr>
            <w:proofErr w:type="spellStart"/>
            <w:r w:rsidRPr="00EA2EE4">
              <w:rPr>
                <w:sz w:val="20"/>
                <w:szCs w:val="20"/>
                <w:lang w:val="hu-HU"/>
              </w:rPr>
              <w:t>Balance</w:t>
            </w:r>
            <w:proofErr w:type="spellEnd"/>
            <w:r w:rsidRPr="00EA2EE4">
              <w:rPr>
                <w:sz w:val="20"/>
                <w:szCs w:val="20"/>
                <w:lang w:val="hu-HU"/>
              </w:rPr>
              <w:t xml:space="preserve"> </w:t>
            </w:r>
            <w:proofErr w:type="spellStart"/>
            <w:r w:rsidRPr="00EA2EE4">
              <w:rPr>
                <w:sz w:val="20"/>
                <w:szCs w:val="20"/>
                <w:lang w:val="hu-HU"/>
              </w:rPr>
              <w:t>Technology</w:t>
            </w:r>
            <w:proofErr w:type="spellEnd"/>
            <w:r w:rsidRPr="00EA2EE4">
              <w:rPr>
                <w:sz w:val="20"/>
                <w:szCs w:val="20"/>
                <w:lang w:val="hu-HU"/>
              </w:rPr>
              <w:t>: egyesíti a vizes és oldószeres termékek előnyét; extra hosszú nyitott idő (sokáig eldolgozható), de gyors száradás és kiemelkedő tartósság.</w:t>
            </w:r>
            <w:r w:rsidR="00A4067C" w:rsidRPr="00EA2EE4">
              <w:rPr>
                <w:sz w:val="20"/>
                <w:szCs w:val="20"/>
                <w:lang w:val="hu-HU"/>
              </w:rPr>
              <w:t xml:space="preserve"> Öntisztuló bevonat. Akár 10 év védelmet biztosít az időjárás okozta igénybevétellel szemben (Sadolin </w:t>
            </w:r>
            <w:proofErr w:type="spellStart"/>
            <w:r w:rsidR="00A4067C" w:rsidRPr="00EA2EE4">
              <w:rPr>
                <w:sz w:val="20"/>
                <w:szCs w:val="20"/>
                <w:lang w:val="hu-HU"/>
              </w:rPr>
              <w:t>Base</w:t>
            </w:r>
            <w:proofErr w:type="spellEnd"/>
            <w:r w:rsidR="00A4067C" w:rsidRPr="00EA2EE4">
              <w:rPr>
                <w:sz w:val="20"/>
                <w:szCs w:val="20"/>
                <w:lang w:val="hu-HU"/>
              </w:rPr>
              <w:t xml:space="preserve"> Plus alapozó és 3 réteg Sadolin </w:t>
            </w:r>
            <w:proofErr w:type="spellStart"/>
            <w:r w:rsidR="00A4067C" w:rsidRPr="00EA2EE4">
              <w:rPr>
                <w:sz w:val="20"/>
                <w:szCs w:val="20"/>
                <w:lang w:val="hu-HU"/>
              </w:rPr>
              <w:t>Extreme</w:t>
            </w:r>
            <w:proofErr w:type="spellEnd"/>
            <w:r w:rsidR="00A4067C" w:rsidRPr="00EA2EE4">
              <w:rPr>
                <w:sz w:val="20"/>
                <w:szCs w:val="20"/>
                <w:lang w:val="hu-HU"/>
              </w:rPr>
              <w:t xml:space="preserve"> előírásszerű használata esetén). Száradás után szagtalan. A későbbi színreklamációk elkerülése érdekében használat előtt minden esetben végezzen próbafestést. A végleges színt a száradás és a javasolt rétegszám után éri el. Kizárólag kültéri felhasználásra ajánljuk!</w:t>
            </w:r>
          </w:p>
          <w:p w14:paraId="472453EB" w14:textId="65D79B57" w:rsidR="00324225" w:rsidRPr="004265EF" w:rsidRDefault="00324225" w:rsidP="00AF7D52">
            <w:pPr>
              <w:spacing w:before="120" w:after="120"/>
              <w:jc w:val="both"/>
              <w:rPr>
                <w:rFonts w:cs="Arial"/>
                <w:sz w:val="20"/>
                <w:szCs w:val="20"/>
                <w:lang w:val="hu-HU"/>
              </w:rPr>
            </w:pPr>
            <w:r w:rsidRPr="00324225">
              <w:rPr>
                <w:rFonts w:cs="Arial"/>
                <w:noProof/>
                <w:sz w:val="20"/>
                <w:szCs w:val="20"/>
              </w:rPr>
              <w:drawing>
                <wp:inline distT="0" distB="0" distL="0" distR="0" wp14:anchorId="7C5C9705" wp14:editId="759C098B">
                  <wp:extent cx="1494430" cy="573206"/>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 r="56681" b="4477"/>
                          <a:stretch/>
                        </pic:blipFill>
                        <pic:spPr bwMode="auto">
                          <a:xfrm>
                            <a:off x="0" y="0"/>
                            <a:ext cx="1510259" cy="579277"/>
                          </a:xfrm>
                          <a:prstGeom prst="rect">
                            <a:avLst/>
                          </a:prstGeom>
                          <a:ln>
                            <a:noFill/>
                          </a:ln>
                          <a:extLst>
                            <a:ext uri="{53640926-AAD7-44D8-BBD7-CCE9431645EC}">
                              <a14:shadowObscured xmlns:a14="http://schemas.microsoft.com/office/drawing/2010/main"/>
                            </a:ext>
                          </a:extLst>
                        </pic:spPr>
                      </pic:pic>
                    </a:graphicData>
                  </a:graphic>
                </wp:inline>
              </w:drawing>
            </w:r>
          </w:p>
        </w:tc>
      </w:tr>
      <w:tr w:rsidR="002863ED" w:rsidRPr="00F10D05" w14:paraId="5F89980B" w14:textId="77777777" w:rsidTr="004A55CB">
        <w:tc>
          <w:tcPr>
            <w:tcW w:w="2689" w:type="dxa"/>
          </w:tcPr>
          <w:p w14:paraId="3564DDBE" w14:textId="6C5265ED" w:rsidR="002863ED" w:rsidRPr="00F10D05" w:rsidRDefault="002863ED" w:rsidP="00AF7D52">
            <w:pPr>
              <w:spacing w:before="120" w:after="120"/>
              <w:jc w:val="both"/>
              <w:rPr>
                <w:rFonts w:cs="Arial"/>
                <w:sz w:val="20"/>
                <w:szCs w:val="20"/>
                <w:lang w:val="hu-HU"/>
              </w:rPr>
            </w:pPr>
            <w:r w:rsidRPr="00F10D05">
              <w:rPr>
                <w:rFonts w:cs="Arial"/>
                <w:sz w:val="20"/>
                <w:szCs w:val="20"/>
                <w:lang w:val="hu-HU"/>
              </w:rPr>
              <w:t>Kiszerelések</w:t>
            </w:r>
          </w:p>
        </w:tc>
        <w:tc>
          <w:tcPr>
            <w:tcW w:w="6945" w:type="dxa"/>
          </w:tcPr>
          <w:p w14:paraId="799B8D53" w14:textId="1C370F7E" w:rsidR="002863ED" w:rsidRPr="00F10D05" w:rsidRDefault="002863ED" w:rsidP="00AF7D52">
            <w:pPr>
              <w:spacing w:before="120" w:after="120"/>
              <w:jc w:val="both"/>
              <w:rPr>
                <w:rFonts w:cs="Arial"/>
                <w:sz w:val="20"/>
                <w:szCs w:val="20"/>
                <w:lang w:val="hu-HU"/>
              </w:rPr>
            </w:pPr>
            <w:r w:rsidRPr="00F10D05">
              <w:rPr>
                <w:rFonts w:cs="Arial"/>
                <w:sz w:val="20"/>
                <w:szCs w:val="20"/>
                <w:lang w:val="hu-HU"/>
              </w:rPr>
              <w:t>0,75 L; 2,5 L</w:t>
            </w:r>
          </w:p>
        </w:tc>
      </w:tr>
      <w:tr w:rsidR="002863ED" w:rsidRPr="00F10D05" w14:paraId="2051438A" w14:textId="77777777" w:rsidTr="004A55CB">
        <w:tc>
          <w:tcPr>
            <w:tcW w:w="2689" w:type="dxa"/>
          </w:tcPr>
          <w:p w14:paraId="3C9AD79B" w14:textId="79FC0D25" w:rsidR="002863ED" w:rsidRPr="00F10D05" w:rsidRDefault="002863ED" w:rsidP="00AF7D52">
            <w:pPr>
              <w:spacing w:before="120" w:after="120"/>
              <w:jc w:val="both"/>
              <w:rPr>
                <w:rFonts w:cs="Arial"/>
                <w:sz w:val="20"/>
                <w:szCs w:val="20"/>
                <w:lang w:val="hu-HU"/>
              </w:rPr>
            </w:pPr>
            <w:r w:rsidRPr="00F10D05">
              <w:rPr>
                <w:rFonts w:cs="Arial"/>
                <w:sz w:val="20"/>
                <w:szCs w:val="20"/>
                <w:lang w:val="hu-HU"/>
              </w:rPr>
              <w:lastRenderedPageBreak/>
              <w:t>Termékjellemzők</w:t>
            </w:r>
          </w:p>
        </w:tc>
        <w:tc>
          <w:tcPr>
            <w:tcW w:w="6945" w:type="dxa"/>
          </w:tcPr>
          <w:p w14:paraId="0AF86C8E" w14:textId="5C5AC666" w:rsidR="00AF3764" w:rsidRPr="00AF3764" w:rsidRDefault="00913791" w:rsidP="00AF7D52">
            <w:pPr>
              <w:spacing w:after="120"/>
              <w:jc w:val="both"/>
              <w:rPr>
                <w:rFonts w:cs="Arial"/>
                <w:sz w:val="20"/>
                <w:szCs w:val="20"/>
                <w:lang w:val="hu-HU"/>
              </w:rPr>
            </w:pPr>
            <w:r w:rsidRPr="00913791">
              <w:rPr>
                <w:noProof/>
              </w:rPr>
              <w:drawing>
                <wp:anchor distT="0" distB="0" distL="114300" distR="114300" simplePos="0" relativeHeight="251658241" behindDoc="1" locked="0" layoutInCell="1" allowOverlap="1" wp14:anchorId="1AC9A8B8" wp14:editId="39FD2302">
                  <wp:simplePos x="0" y="0"/>
                  <wp:positionH relativeFrom="column">
                    <wp:posOffset>3402330</wp:posOffset>
                  </wp:positionH>
                  <wp:positionV relativeFrom="paragraph">
                    <wp:posOffset>0</wp:posOffset>
                  </wp:positionV>
                  <wp:extent cx="614680" cy="1917065"/>
                  <wp:effectExtent l="0" t="0" r="0" b="6985"/>
                  <wp:wrapTight wrapText="bothSides">
                    <wp:wrapPolygon edited="0">
                      <wp:start x="0" y="0"/>
                      <wp:lineTo x="0" y="21464"/>
                      <wp:lineTo x="20752" y="21464"/>
                      <wp:lineTo x="20752"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4680" cy="1917065"/>
                          </a:xfrm>
                          <a:prstGeom prst="rect">
                            <a:avLst/>
                          </a:prstGeom>
                        </pic:spPr>
                      </pic:pic>
                    </a:graphicData>
                  </a:graphic>
                  <wp14:sizeRelH relativeFrom="margin">
                    <wp14:pctWidth>0</wp14:pctWidth>
                  </wp14:sizeRelH>
                  <wp14:sizeRelV relativeFrom="margin">
                    <wp14:pctHeight>0</wp14:pctHeight>
                  </wp14:sizeRelV>
                </wp:anchor>
              </w:drawing>
            </w:r>
            <w:r w:rsidR="00C151F3" w:rsidRPr="00AF3764">
              <w:rPr>
                <w:rFonts w:cs="Arial"/>
                <w:sz w:val="20"/>
                <w:szCs w:val="20"/>
                <w:lang w:val="hu-HU"/>
              </w:rPr>
              <w:t xml:space="preserve"> </w:t>
            </w:r>
          </w:p>
          <w:p w14:paraId="33723FE7" w14:textId="1A779C4D" w:rsidR="00A4067C" w:rsidRPr="00EA2EE4" w:rsidRDefault="002F3252" w:rsidP="00AF7D52">
            <w:pPr>
              <w:pStyle w:val="ListParagraph"/>
              <w:numPr>
                <w:ilvl w:val="0"/>
                <w:numId w:val="4"/>
              </w:numPr>
              <w:spacing w:after="120"/>
              <w:jc w:val="both"/>
              <w:rPr>
                <w:rFonts w:cs="Arial"/>
                <w:sz w:val="20"/>
                <w:szCs w:val="20"/>
                <w:lang w:val="hu-HU"/>
              </w:rPr>
            </w:pPr>
            <w:proofErr w:type="spellStart"/>
            <w:r w:rsidRPr="00EA2EE4">
              <w:rPr>
                <w:sz w:val="20"/>
                <w:szCs w:val="20"/>
                <w:lang w:val="hu-HU"/>
              </w:rPr>
              <w:t>StayClean</w:t>
            </w:r>
            <w:proofErr w:type="spellEnd"/>
            <w:r w:rsidRPr="00EA2EE4">
              <w:rPr>
                <w:sz w:val="20"/>
                <w:szCs w:val="20"/>
                <w:lang w:val="hu-HU"/>
              </w:rPr>
              <w:t xml:space="preserve">® </w:t>
            </w:r>
            <w:proofErr w:type="spellStart"/>
            <w:r w:rsidRPr="00EA2EE4">
              <w:rPr>
                <w:sz w:val="20"/>
                <w:szCs w:val="20"/>
                <w:lang w:val="hu-HU"/>
              </w:rPr>
              <w:t>Technology</w:t>
            </w:r>
            <w:proofErr w:type="spellEnd"/>
            <w:r w:rsidRPr="00EA2EE4">
              <w:rPr>
                <w:sz w:val="20"/>
                <w:szCs w:val="20"/>
                <w:lang w:val="hu-HU"/>
              </w:rPr>
              <w:t>: Öntisztuló bevonat.</w:t>
            </w:r>
          </w:p>
          <w:p w14:paraId="40143C52" w14:textId="1EF2901B" w:rsidR="002F3252" w:rsidRPr="00EA2EE4" w:rsidRDefault="002F3252" w:rsidP="00AF7D52">
            <w:pPr>
              <w:pStyle w:val="ListParagraph"/>
              <w:numPr>
                <w:ilvl w:val="0"/>
                <w:numId w:val="4"/>
              </w:numPr>
              <w:spacing w:after="120"/>
              <w:jc w:val="both"/>
              <w:rPr>
                <w:rFonts w:cs="Arial"/>
                <w:sz w:val="20"/>
                <w:szCs w:val="20"/>
                <w:lang w:val="hu-HU"/>
              </w:rPr>
            </w:pPr>
            <w:proofErr w:type="spellStart"/>
            <w:r w:rsidRPr="00EA2EE4">
              <w:rPr>
                <w:sz w:val="20"/>
                <w:szCs w:val="20"/>
                <w:lang w:val="hu-HU"/>
              </w:rPr>
              <w:t>Balance</w:t>
            </w:r>
            <w:proofErr w:type="spellEnd"/>
            <w:r w:rsidRPr="00EA2EE4">
              <w:rPr>
                <w:sz w:val="20"/>
                <w:szCs w:val="20"/>
                <w:lang w:val="hu-HU"/>
              </w:rPr>
              <w:t xml:space="preserve"> </w:t>
            </w:r>
            <w:proofErr w:type="spellStart"/>
            <w:r w:rsidRPr="00EA2EE4">
              <w:rPr>
                <w:sz w:val="20"/>
                <w:szCs w:val="20"/>
                <w:lang w:val="hu-HU"/>
              </w:rPr>
              <w:t>Technology</w:t>
            </w:r>
            <w:proofErr w:type="spellEnd"/>
            <w:r w:rsidRPr="00EA2EE4">
              <w:rPr>
                <w:sz w:val="20"/>
                <w:szCs w:val="20"/>
                <w:lang w:val="hu-HU"/>
              </w:rPr>
              <w:t>: egyesíti a vizes és oldószeres termékek előnyét.</w:t>
            </w:r>
          </w:p>
          <w:p w14:paraId="3867658C" w14:textId="409FEEC8" w:rsidR="00A4067C" w:rsidRPr="00EA2EE4" w:rsidRDefault="00A4067C" w:rsidP="00AF7D52">
            <w:pPr>
              <w:pStyle w:val="ListParagraph"/>
              <w:numPr>
                <w:ilvl w:val="0"/>
                <w:numId w:val="4"/>
              </w:numPr>
              <w:spacing w:after="120"/>
              <w:jc w:val="both"/>
              <w:rPr>
                <w:rFonts w:cs="Arial"/>
                <w:sz w:val="20"/>
                <w:szCs w:val="20"/>
                <w:lang w:val="hu-HU"/>
              </w:rPr>
            </w:pPr>
            <w:r w:rsidRPr="00EA2EE4">
              <w:rPr>
                <w:sz w:val="20"/>
                <w:szCs w:val="20"/>
                <w:lang w:val="hu-HU"/>
              </w:rPr>
              <w:t xml:space="preserve">Véd a </w:t>
            </w:r>
            <w:proofErr w:type="spellStart"/>
            <w:r w:rsidRPr="00EA2EE4">
              <w:rPr>
                <w:sz w:val="20"/>
                <w:szCs w:val="20"/>
                <w:lang w:val="hu-HU"/>
              </w:rPr>
              <w:t>biokorrózió</w:t>
            </w:r>
            <w:proofErr w:type="spellEnd"/>
            <w:r w:rsidRPr="00EA2EE4">
              <w:rPr>
                <w:sz w:val="20"/>
                <w:szCs w:val="20"/>
                <w:lang w:val="hu-HU"/>
              </w:rPr>
              <w:t xml:space="preserve"> ellen.</w:t>
            </w:r>
          </w:p>
          <w:p w14:paraId="74A08198" w14:textId="16309D43" w:rsidR="00A4067C" w:rsidRPr="00EA2EE4" w:rsidRDefault="00A4067C" w:rsidP="00AF7D52">
            <w:pPr>
              <w:pStyle w:val="ListParagraph"/>
              <w:numPr>
                <w:ilvl w:val="0"/>
                <w:numId w:val="4"/>
              </w:numPr>
              <w:spacing w:after="120"/>
              <w:jc w:val="both"/>
              <w:rPr>
                <w:rFonts w:cs="Arial"/>
                <w:sz w:val="20"/>
                <w:szCs w:val="20"/>
                <w:lang w:val="hu-HU"/>
              </w:rPr>
            </w:pPr>
            <w:proofErr w:type="spellStart"/>
            <w:r w:rsidRPr="00EA2EE4">
              <w:rPr>
                <w:sz w:val="20"/>
                <w:szCs w:val="20"/>
                <w:lang w:val="hu-HU"/>
              </w:rPr>
              <w:t>Vízlepergető</w:t>
            </w:r>
            <w:proofErr w:type="spellEnd"/>
          </w:p>
          <w:p w14:paraId="3EB6E51B" w14:textId="77777777" w:rsidR="002863ED" w:rsidRPr="00EA2EE4" w:rsidRDefault="00A4067C" w:rsidP="00AF7D52">
            <w:pPr>
              <w:pStyle w:val="ListParagraph"/>
              <w:numPr>
                <w:ilvl w:val="0"/>
                <w:numId w:val="4"/>
              </w:numPr>
              <w:spacing w:after="120"/>
              <w:jc w:val="both"/>
              <w:rPr>
                <w:rFonts w:cs="Arial"/>
                <w:sz w:val="20"/>
                <w:szCs w:val="20"/>
                <w:lang w:val="hu-HU"/>
              </w:rPr>
            </w:pPr>
            <w:r w:rsidRPr="00EA2EE4">
              <w:rPr>
                <w:sz w:val="20"/>
                <w:szCs w:val="20"/>
                <w:lang w:val="hu-HU"/>
              </w:rPr>
              <w:t>UV álló bevonatot képez, ezáltal véd a nedvesség és az időjárás hatásai ellen.</w:t>
            </w:r>
          </w:p>
          <w:p w14:paraId="1B4E2795" w14:textId="17563058" w:rsidR="00E02E6B" w:rsidRPr="00A4067C" w:rsidRDefault="00E02E6B" w:rsidP="00AF7D52">
            <w:pPr>
              <w:pStyle w:val="ListParagraph"/>
              <w:numPr>
                <w:ilvl w:val="0"/>
                <w:numId w:val="4"/>
              </w:numPr>
              <w:spacing w:after="120"/>
              <w:jc w:val="both"/>
              <w:rPr>
                <w:rFonts w:cs="Arial"/>
                <w:sz w:val="20"/>
                <w:szCs w:val="20"/>
                <w:lang w:val="hu-HU"/>
              </w:rPr>
            </w:pPr>
            <w:r w:rsidRPr="00EA2EE4">
              <w:rPr>
                <w:sz w:val="20"/>
                <w:szCs w:val="20"/>
                <w:lang w:val="hu-HU"/>
              </w:rPr>
              <w:t>Extra hosszú nyitott idő következtében sokáig eldolgozható, könnyen ecsetelhető. Védi a fát a nap UV sugárzása ellen. Felhordás után maximum 2 óra múlva esőálló bevonatot képez.</w:t>
            </w:r>
          </w:p>
        </w:tc>
      </w:tr>
      <w:tr w:rsidR="002863ED" w:rsidRPr="00F10D05" w14:paraId="4155E50C" w14:textId="77777777" w:rsidTr="004A55CB">
        <w:tc>
          <w:tcPr>
            <w:tcW w:w="9634" w:type="dxa"/>
            <w:gridSpan w:val="2"/>
            <w:shd w:val="clear" w:color="auto" w:fill="000000" w:themeFill="text1"/>
          </w:tcPr>
          <w:p w14:paraId="05BD1186" w14:textId="2BC0CEC8" w:rsidR="002863ED" w:rsidRPr="00214474" w:rsidRDefault="002863ED" w:rsidP="00AF7D52">
            <w:pPr>
              <w:spacing w:before="120" w:after="120"/>
              <w:jc w:val="center"/>
              <w:rPr>
                <w:rFonts w:cs="Arial"/>
                <w:sz w:val="28"/>
                <w:szCs w:val="28"/>
                <w:lang w:val="hu-HU"/>
              </w:rPr>
            </w:pPr>
            <w:r w:rsidRPr="00214474">
              <w:rPr>
                <w:rFonts w:cs="Arial"/>
                <w:sz w:val="28"/>
                <w:szCs w:val="28"/>
                <w:lang w:val="hu-HU"/>
              </w:rPr>
              <w:t>MŰSZAKI ADATOK</w:t>
            </w:r>
          </w:p>
        </w:tc>
      </w:tr>
      <w:tr w:rsidR="002863ED" w:rsidRPr="00F10D05" w14:paraId="15134802" w14:textId="77777777" w:rsidTr="004A55CB">
        <w:tc>
          <w:tcPr>
            <w:tcW w:w="2689" w:type="dxa"/>
          </w:tcPr>
          <w:p w14:paraId="51D73903" w14:textId="79F0B72B" w:rsidR="002863ED" w:rsidRPr="00F10D05" w:rsidRDefault="002863ED" w:rsidP="00AF7D52">
            <w:pPr>
              <w:spacing w:before="120" w:after="120"/>
              <w:jc w:val="both"/>
              <w:rPr>
                <w:rFonts w:cs="Arial"/>
                <w:sz w:val="20"/>
                <w:szCs w:val="20"/>
                <w:lang w:val="hu-HU"/>
              </w:rPr>
            </w:pPr>
            <w:r w:rsidRPr="00F10D05">
              <w:rPr>
                <w:rFonts w:cs="Arial"/>
                <w:sz w:val="20"/>
                <w:szCs w:val="20"/>
                <w:lang w:val="hu-HU"/>
              </w:rPr>
              <w:t>Fényesség</w:t>
            </w:r>
          </w:p>
        </w:tc>
        <w:tc>
          <w:tcPr>
            <w:tcW w:w="6945" w:type="dxa"/>
          </w:tcPr>
          <w:p w14:paraId="48B2F950" w14:textId="220DEC60" w:rsidR="002863ED" w:rsidRPr="00F10D05" w:rsidRDefault="002863ED" w:rsidP="00AF7D52">
            <w:pPr>
              <w:spacing w:before="120" w:after="120"/>
              <w:jc w:val="both"/>
              <w:rPr>
                <w:rFonts w:cs="Arial"/>
                <w:color w:val="FFFFFF" w:themeColor="background1"/>
                <w:sz w:val="20"/>
                <w:szCs w:val="20"/>
                <w:lang w:val="hu-HU"/>
              </w:rPr>
            </w:pPr>
            <w:r w:rsidRPr="00F10D05">
              <w:rPr>
                <w:rFonts w:cs="Arial"/>
                <w:sz w:val="20"/>
                <w:szCs w:val="20"/>
                <w:lang w:val="hu-HU"/>
              </w:rPr>
              <w:t>selyemfényű</w:t>
            </w:r>
          </w:p>
        </w:tc>
      </w:tr>
      <w:tr w:rsidR="002863ED" w:rsidRPr="00F10D05" w14:paraId="153346BA" w14:textId="77777777" w:rsidTr="004A55CB">
        <w:tc>
          <w:tcPr>
            <w:tcW w:w="2689" w:type="dxa"/>
          </w:tcPr>
          <w:p w14:paraId="0ABEE492" w14:textId="22AFF01F" w:rsidR="002863ED" w:rsidRPr="00F10D05" w:rsidRDefault="002863ED" w:rsidP="00AF7D52">
            <w:pPr>
              <w:spacing w:before="120" w:after="120"/>
              <w:jc w:val="both"/>
              <w:rPr>
                <w:rFonts w:cs="Arial"/>
                <w:sz w:val="20"/>
                <w:szCs w:val="20"/>
                <w:lang w:val="hu-HU"/>
              </w:rPr>
            </w:pPr>
            <w:r w:rsidRPr="00F10D05">
              <w:rPr>
                <w:rFonts w:cs="Arial"/>
                <w:sz w:val="20"/>
                <w:szCs w:val="20"/>
                <w:lang w:val="hu-HU"/>
              </w:rPr>
              <w:t>VOC</w:t>
            </w:r>
          </w:p>
        </w:tc>
        <w:tc>
          <w:tcPr>
            <w:tcW w:w="6945" w:type="dxa"/>
          </w:tcPr>
          <w:p w14:paraId="58537819" w14:textId="07CC7E3E" w:rsidR="002863ED" w:rsidRPr="00EA2EE4" w:rsidRDefault="002863ED" w:rsidP="00AF7D52">
            <w:pPr>
              <w:spacing w:before="120" w:after="120"/>
              <w:jc w:val="both"/>
              <w:rPr>
                <w:rFonts w:cs="Arial"/>
                <w:sz w:val="20"/>
                <w:szCs w:val="20"/>
                <w:lang w:val="hu-HU"/>
              </w:rPr>
            </w:pPr>
            <w:r w:rsidRPr="00F10D05">
              <w:rPr>
                <w:rFonts w:cs="Arial"/>
                <w:sz w:val="20"/>
                <w:szCs w:val="20"/>
                <w:lang w:val="hu-HU"/>
              </w:rPr>
              <w:t>EU határérték a termékre: (kat.: A/e-</w:t>
            </w:r>
            <w:r w:rsidR="00E02E6B">
              <w:rPr>
                <w:rFonts w:cs="Arial"/>
                <w:sz w:val="20"/>
                <w:szCs w:val="20"/>
                <w:lang w:val="hu-HU"/>
              </w:rPr>
              <w:t>VN</w:t>
            </w:r>
            <w:r w:rsidRPr="00F10D05">
              <w:rPr>
                <w:rFonts w:cs="Arial"/>
                <w:sz w:val="20"/>
                <w:szCs w:val="20"/>
                <w:lang w:val="hu-HU"/>
              </w:rPr>
              <w:t xml:space="preserve"> </w:t>
            </w:r>
            <w:r w:rsidR="00E02E6B">
              <w:rPr>
                <w:rFonts w:cs="Arial"/>
                <w:sz w:val="20"/>
                <w:szCs w:val="20"/>
                <w:lang w:val="hu-HU"/>
              </w:rPr>
              <w:t>13</w:t>
            </w:r>
            <w:r w:rsidRPr="00F10D05">
              <w:rPr>
                <w:rFonts w:cs="Arial"/>
                <w:sz w:val="20"/>
                <w:szCs w:val="20"/>
                <w:lang w:val="hu-HU"/>
              </w:rPr>
              <w:t xml:space="preserve">0 g/Liter (2010). A termék </w:t>
            </w:r>
            <w:r w:rsidR="00F11AB3" w:rsidRPr="00F10D05">
              <w:rPr>
                <w:rFonts w:cs="Arial"/>
                <w:sz w:val="20"/>
                <w:szCs w:val="20"/>
                <w:lang w:val="hu-HU"/>
              </w:rPr>
              <w:t>legfeljebb</w:t>
            </w:r>
            <w:r w:rsidR="004E6B9C">
              <w:rPr>
                <w:rFonts w:cs="Arial"/>
                <w:sz w:val="20"/>
                <w:szCs w:val="20"/>
                <w:lang w:val="hu-HU"/>
              </w:rPr>
              <w:t xml:space="preserve"> 80</w:t>
            </w:r>
            <w:r w:rsidRPr="00F10D05">
              <w:rPr>
                <w:rFonts w:cs="Arial"/>
                <w:sz w:val="20"/>
                <w:szCs w:val="20"/>
                <w:lang w:val="hu-HU"/>
              </w:rPr>
              <w:t xml:space="preserve"> g/Liter VOC-t tartalmaz.</w:t>
            </w:r>
          </w:p>
        </w:tc>
      </w:tr>
      <w:tr w:rsidR="003467EB" w:rsidRPr="00F10D05" w14:paraId="5DA177E7" w14:textId="77777777" w:rsidTr="004A55CB">
        <w:tc>
          <w:tcPr>
            <w:tcW w:w="2689" w:type="dxa"/>
          </w:tcPr>
          <w:p w14:paraId="2FD646E1" w14:textId="0B4B275D" w:rsidR="003467EB" w:rsidRPr="00F10D05" w:rsidRDefault="003467EB" w:rsidP="00AF7D52">
            <w:pPr>
              <w:spacing w:before="120" w:after="120"/>
              <w:jc w:val="both"/>
              <w:rPr>
                <w:rFonts w:cs="Arial"/>
                <w:sz w:val="20"/>
                <w:szCs w:val="20"/>
                <w:lang w:val="hu-HU"/>
              </w:rPr>
            </w:pPr>
            <w:r w:rsidRPr="00F10D05">
              <w:rPr>
                <w:rFonts w:cs="Arial"/>
                <w:sz w:val="20"/>
                <w:szCs w:val="20"/>
                <w:lang w:val="hu-HU"/>
              </w:rPr>
              <w:t>Színválaszték</w:t>
            </w:r>
          </w:p>
        </w:tc>
        <w:tc>
          <w:tcPr>
            <w:tcW w:w="6945" w:type="dxa"/>
          </w:tcPr>
          <w:p w14:paraId="4A69F324" w14:textId="6BE39F5B" w:rsidR="003467EB" w:rsidRPr="004E6B9C" w:rsidRDefault="004E6B9C" w:rsidP="00AF7D52">
            <w:pPr>
              <w:spacing w:before="120" w:after="120"/>
              <w:jc w:val="both"/>
              <w:rPr>
                <w:rFonts w:cs="Arial"/>
                <w:sz w:val="20"/>
                <w:szCs w:val="20"/>
                <w:lang w:val="hu-HU"/>
              </w:rPr>
            </w:pPr>
            <w:r w:rsidRPr="00EA2EE4">
              <w:rPr>
                <w:rFonts w:cs="Arial"/>
                <w:sz w:val="20"/>
                <w:szCs w:val="20"/>
                <w:lang w:val="hu-HU"/>
              </w:rPr>
              <w:t>Színtelen, készre kevert színek, és színkeveréssel elérhető színek. A színek egymással keverhetőek. Az aktuális színválasztékról a www.sadolin.hu weboldal és egyéb szóróanyagok adnak információt. A rétegvastagság, illetve a fa fajtája befolyásolhatja a színárnyalatot. Használat előtt végezzen próbafestést!</w:t>
            </w:r>
          </w:p>
        </w:tc>
      </w:tr>
      <w:tr w:rsidR="007F4B18" w:rsidRPr="00F10D05" w14:paraId="157C7F52" w14:textId="77777777" w:rsidTr="004A55CB">
        <w:tc>
          <w:tcPr>
            <w:tcW w:w="2689" w:type="dxa"/>
          </w:tcPr>
          <w:p w14:paraId="06B06FF2" w14:textId="7FC1F9BA" w:rsidR="007F4B18" w:rsidRPr="00F10D05" w:rsidRDefault="007F4B18" w:rsidP="00AF7D52">
            <w:pPr>
              <w:spacing w:before="120" w:after="120"/>
              <w:jc w:val="both"/>
              <w:rPr>
                <w:rFonts w:cs="Arial"/>
                <w:sz w:val="20"/>
                <w:szCs w:val="20"/>
                <w:lang w:val="hu-HU"/>
              </w:rPr>
            </w:pPr>
            <w:r w:rsidRPr="00F10D05">
              <w:rPr>
                <w:rFonts w:cs="Arial"/>
                <w:sz w:val="20"/>
                <w:szCs w:val="20"/>
                <w:lang w:val="hu-HU"/>
              </w:rPr>
              <w:t>Kiszerelés</w:t>
            </w:r>
          </w:p>
        </w:tc>
        <w:tc>
          <w:tcPr>
            <w:tcW w:w="6945" w:type="dxa"/>
          </w:tcPr>
          <w:p w14:paraId="39C3540E" w14:textId="568AEE41" w:rsidR="007F4B18" w:rsidRPr="00F10D05" w:rsidRDefault="007F4B18" w:rsidP="00AF7D52">
            <w:pPr>
              <w:spacing w:before="120" w:after="120"/>
              <w:rPr>
                <w:rFonts w:cs="Arial"/>
                <w:sz w:val="20"/>
                <w:szCs w:val="20"/>
                <w:lang w:val="hu-HU"/>
              </w:rPr>
            </w:pPr>
            <w:r w:rsidRPr="00F10D05">
              <w:rPr>
                <w:rFonts w:cs="Arial"/>
                <w:sz w:val="20"/>
                <w:szCs w:val="20"/>
                <w:lang w:val="hu-HU"/>
              </w:rPr>
              <w:t>0,75L; 2,5L;</w:t>
            </w:r>
          </w:p>
        </w:tc>
      </w:tr>
      <w:tr w:rsidR="002863ED" w:rsidRPr="00F10D05" w14:paraId="7D58A586" w14:textId="77777777" w:rsidTr="004A55CB">
        <w:tc>
          <w:tcPr>
            <w:tcW w:w="2689" w:type="dxa"/>
          </w:tcPr>
          <w:p w14:paraId="4B2E376E" w14:textId="529BA6B5" w:rsidR="002863ED" w:rsidRPr="00F10D05" w:rsidRDefault="002863ED" w:rsidP="00AF7D52">
            <w:pPr>
              <w:spacing w:before="120" w:after="120"/>
              <w:jc w:val="both"/>
              <w:rPr>
                <w:rFonts w:cs="Arial"/>
                <w:sz w:val="20"/>
                <w:szCs w:val="20"/>
                <w:lang w:val="hu-HU"/>
              </w:rPr>
            </w:pPr>
            <w:r w:rsidRPr="00F10D05">
              <w:rPr>
                <w:rFonts w:cs="Arial"/>
                <w:sz w:val="20"/>
                <w:szCs w:val="20"/>
                <w:lang w:val="hu-HU"/>
              </w:rPr>
              <w:t>Száradási idő</w:t>
            </w:r>
          </w:p>
        </w:tc>
        <w:tc>
          <w:tcPr>
            <w:tcW w:w="6945" w:type="dxa"/>
          </w:tcPr>
          <w:p w14:paraId="718F7440" w14:textId="77777777" w:rsidR="00FF1A82" w:rsidRPr="00EA2EE4" w:rsidRDefault="00FF1A82" w:rsidP="00AF7D52">
            <w:pPr>
              <w:spacing w:before="120" w:after="120"/>
              <w:jc w:val="both"/>
              <w:rPr>
                <w:rFonts w:cs="Arial"/>
                <w:sz w:val="20"/>
                <w:szCs w:val="20"/>
                <w:lang w:val="hu-HU"/>
              </w:rPr>
            </w:pPr>
            <w:r w:rsidRPr="00EA2EE4">
              <w:rPr>
                <w:rFonts w:cs="Arial"/>
                <w:sz w:val="20"/>
                <w:szCs w:val="20"/>
                <w:lang w:val="hu-HU"/>
              </w:rPr>
              <w:t xml:space="preserve">Száradási idő: 23 °C/50 % relatív páratartalom mellett: 20 perc a fa porozitásától, a hőmérséklettől és a légnedvességtől függően. Alacsony hőmérsékleten vagy magas páratartalom mellett a szárítási idő meghosszabbodhat. </w:t>
            </w:r>
          </w:p>
          <w:p w14:paraId="47114A35" w14:textId="7C49A1C5" w:rsidR="00BF7A5D" w:rsidRPr="00F10D05" w:rsidRDefault="00FF1A82" w:rsidP="00AF7D52">
            <w:pPr>
              <w:spacing w:before="120" w:after="120"/>
              <w:jc w:val="both"/>
              <w:rPr>
                <w:rFonts w:cs="Arial"/>
                <w:sz w:val="20"/>
                <w:szCs w:val="20"/>
                <w:lang w:val="hu-HU"/>
              </w:rPr>
            </w:pPr>
            <w:r w:rsidRPr="00EA2EE4">
              <w:rPr>
                <w:rFonts w:cs="Arial"/>
                <w:sz w:val="20"/>
                <w:szCs w:val="20"/>
                <w:lang w:val="hu-HU"/>
              </w:rPr>
              <w:t xml:space="preserve">Megjegyzés: Az </w:t>
            </w:r>
            <w:proofErr w:type="spellStart"/>
            <w:r w:rsidRPr="00EA2EE4">
              <w:rPr>
                <w:rFonts w:cs="Arial"/>
                <w:sz w:val="20"/>
                <w:szCs w:val="20"/>
                <w:lang w:val="hu-HU"/>
              </w:rPr>
              <w:t>átvonhatósági</w:t>
            </w:r>
            <w:proofErr w:type="spellEnd"/>
            <w:r w:rsidRPr="00EA2EE4">
              <w:rPr>
                <w:rFonts w:cs="Arial"/>
                <w:sz w:val="20"/>
                <w:szCs w:val="20"/>
                <w:lang w:val="hu-HU"/>
              </w:rPr>
              <w:t xml:space="preserve"> idő függ a fa fajtájától és a festési körülményektől. Puhafa felületeken az anyag könnyebben beszívódik és a bevonat gyorsabban szárad. Keményfa felületeken a száradási folyamat hosszabb ideig tarthat</w:t>
            </w:r>
            <w:r w:rsidR="00EA2EE4">
              <w:rPr>
                <w:rFonts w:cs="Arial"/>
                <w:sz w:val="20"/>
                <w:szCs w:val="20"/>
                <w:lang w:val="hu-HU"/>
              </w:rPr>
              <w:t>.</w:t>
            </w:r>
          </w:p>
        </w:tc>
      </w:tr>
      <w:tr w:rsidR="002863ED" w:rsidRPr="00F10D05" w14:paraId="0DD29877" w14:textId="77777777" w:rsidTr="004A55CB">
        <w:tc>
          <w:tcPr>
            <w:tcW w:w="2689" w:type="dxa"/>
          </w:tcPr>
          <w:p w14:paraId="4CD2F074" w14:textId="3857589A" w:rsidR="002863ED" w:rsidRPr="00F10D05" w:rsidRDefault="002863ED" w:rsidP="00AF7D52">
            <w:pPr>
              <w:spacing w:before="120" w:after="120"/>
              <w:jc w:val="both"/>
              <w:rPr>
                <w:rFonts w:cs="Arial"/>
                <w:sz w:val="20"/>
                <w:szCs w:val="20"/>
                <w:lang w:val="hu-HU"/>
              </w:rPr>
            </w:pPr>
            <w:r w:rsidRPr="00F10D05">
              <w:rPr>
                <w:rFonts w:cs="Arial"/>
                <w:sz w:val="20"/>
                <w:szCs w:val="20"/>
                <w:lang w:val="hu-HU"/>
              </w:rPr>
              <w:t>Kiadósság</w:t>
            </w:r>
          </w:p>
        </w:tc>
        <w:tc>
          <w:tcPr>
            <w:tcW w:w="6945" w:type="dxa"/>
          </w:tcPr>
          <w:p w14:paraId="535F65D6" w14:textId="44A04D10" w:rsidR="002863ED" w:rsidRPr="004A55CB" w:rsidRDefault="00FF1A82" w:rsidP="00AF7D52">
            <w:pPr>
              <w:spacing w:before="120" w:after="120"/>
              <w:jc w:val="both"/>
              <w:rPr>
                <w:rFonts w:cs="Arial"/>
                <w:sz w:val="20"/>
                <w:szCs w:val="20"/>
                <w:lang w:val="hu-HU"/>
              </w:rPr>
            </w:pPr>
            <w:r w:rsidRPr="004A55CB">
              <w:rPr>
                <w:sz w:val="20"/>
                <w:szCs w:val="20"/>
                <w:lang w:val="hu-HU"/>
              </w:rPr>
              <w:t>13 m2 /l rétegenként, függ a felület minőségétől és a felhordás módjától.</w:t>
            </w:r>
          </w:p>
        </w:tc>
      </w:tr>
      <w:tr w:rsidR="002863ED" w:rsidRPr="00F10D05" w14:paraId="244AE919" w14:textId="77777777" w:rsidTr="004A55CB">
        <w:tc>
          <w:tcPr>
            <w:tcW w:w="2689" w:type="dxa"/>
          </w:tcPr>
          <w:p w14:paraId="2EA3D29F" w14:textId="760D5875" w:rsidR="002863ED" w:rsidRPr="00F10D05" w:rsidRDefault="002863ED" w:rsidP="00AF7D52">
            <w:pPr>
              <w:spacing w:before="120" w:after="120"/>
              <w:jc w:val="both"/>
              <w:rPr>
                <w:rFonts w:cs="Arial"/>
                <w:sz w:val="20"/>
                <w:szCs w:val="20"/>
                <w:lang w:val="hu-HU"/>
              </w:rPr>
            </w:pPr>
            <w:r w:rsidRPr="00F10D05">
              <w:rPr>
                <w:rFonts w:cs="Arial"/>
                <w:sz w:val="20"/>
                <w:szCs w:val="20"/>
                <w:lang w:val="hu-HU"/>
              </w:rPr>
              <w:t>Rétegek száma</w:t>
            </w:r>
          </w:p>
        </w:tc>
        <w:tc>
          <w:tcPr>
            <w:tcW w:w="6945" w:type="dxa"/>
          </w:tcPr>
          <w:p w14:paraId="5DD3E026" w14:textId="78E07958" w:rsidR="002863ED" w:rsidRPr="004A55CB" w:rsidRDefault="002863ED" w:rsidP="00AF7D52">
            <w:pPr>
              <w:spacing w:before="120" w:after="120"/>
              <w:jc w:val="both"/>
              <w:rPr>
                <w:rFonts w:cs="Arial"/>
                <w:sz w:val="20"/>
                <w:szCs w:val="20"/>
                <w:lang w:val="hu-HU"/>
              </w:rPr>
            </w:pPr>
            <w:r w:rsidRPr="004A55CB">
              <w:rPr>
                <w:rFonts w:cs="Arial"/>
                <w:sz w:val="20"/>
                <w:szCs w:val="20"/>
                <w:lang w:val="hu-HU"/>
              </w:rPr>
              <w:t xml:space="preserve">2 </w:t>
            </w:r>
            <w:r w:rsidR="002300DA" w:rsidRPr="004A55CB">
              <w:rPr>
                <w:rFonts w:cs="Arial"/>
                <w:sz w:val="20"/>
                <w:szCs w:val="20"/>
                <w:lang w:val="hu-HU"/>
              </w:rPr>
              <w:t xml:space="preserve">réteg. Fokozott igénybevételnek kitett helyeken </w:t>
            </w:r>
            <w:r w:rsidR="00845416" w:rsidRPr="004A55CB">
              <w:rPr>
                <w:rFonts w:cs="Arial"/>
                <w:sz w:val="20"/>
                <w:szCs w:val="20"/>
                <w:lang w:val="hu-HU"/>
              </w:rPr>
              <w:t xml:space="preserve">3 </w:t>
            </w:r>
            <w:r w:rsidRPr="004A55CB">
              <w:rPr>
                <w:rFonts w:cs="Arial"/>
                <w:sz w:val="20"/>
                <w:szCs w:val="20"/>
                <w:lang w:val="hu-HU"/>
              </w:rPr>
              <w:t>réteg</w:t>
            </w:r>
            <w:r w:rsidR="002300DA" w:rsidRPr="004A55CB">
              <w:rPr>
                <w:rFonts w:cs="Arial"/>
                <w:sz w:val="20"/>
                <w:szCs w:val="20"/>
                <w:lang w:val="hu-HU"/>
              </w:rPr>
              <w:t>.</w:t>
            </w:r>
          </w:p>
        </w:tc>
      </w:tr>
      <w:tr w:rsidR="002863ED" w:rsidRPr="00F10D05" w14:paraId="6D5665F0" w14:textId="77777777" w:rsidTr="004A55CB">
        <w:tc>
          <w:tcPr>
            <w:tcW w:w="2689" w:type="dxa"/>
          </w:tcPr>
          <w:p w14:paraId="189916EE" w14:textId="2D0EE066" w:rsidR="002863ED" w:rsidRPr="00F10D05" w:rsidRDefault="002863ED" w:rsidP="00AF7D52">
            <w:pPr>
              <w:spacing w:before="120" w:after="120"/>
              <w:jc w:val="both"/>
              <w:rPr>
                <w:rFonts w:cs="Arial"/>
                <w:sz w:val="20"/>
                <w:szCs w:val="20"/>
                <w:lang w:val="hu-HU"/>
              </w:rPr>
            </w:pPr>
            <w:r w:rsidRPr="00F10D05">
              <w:rPr>
                <w:rFonts w:cs="Arial"/>
                <w:sz w:val="20"/>
                <w:szCs w:val="20"/>
                <w:lang w:val="hu-HU"/>
              </w:rPr>
              <w:t>Felhordási mód</w:t>
            </w:r>
          </w:p>
        </w:tc>
        <w:tc>
          <w:tcPr>
            <w:tcW w:w="6945" w:type="dxa"/>
          </w:tcPr>
          <w:p w14:paraId="441178DC" w14:textId="3D90C64E" w:rsidR="002863ED" w:rsidRPr="004A55CB" w:rsidRDefault="00D64C30" w:rsidP="00AF7D52">
            <w:pPr>
              <w:spacing w:before="120" w:after="120"/>
              <w:jc w:val="both"/>
              <w:rPr>
                <w:rFonts w:cs="Arial"/>
                <w:sz w:val="20"/>
                <w:szCs w:val="20"/>
                <w:lang w:val="hu-HU"/>
              </w:rPr>
            </w:pPr>
            <w:r w:rsidRPr="004A55CB">
              <w:rPr>
                <w:rFonts w:cs="Arial"/>
                <w:sz w:val="20"/>
                <w:szCs w:val="20"/>
                <w:lang w:val="hu-HU"/>
              </w:rPr>
              <w:t xml:space="preserve">Ecsettel vagy </w:t>
            </w:r>
            <w:r w:rsidR="00845416" w:rsidRPr="004A55CB">
              <w:rPr>
                <w:rFonts w:cs="Arial"/>
                <w:sz w:val="20"/>
                <w:szCs w:val="20"/>
                <w:lang w:val="hu-HU"/>
              </w:rPr>
              <w:t>hengerrel</w:t>
            </w:r>
            <w:r w:rsidRPr="004A55CB">
              <w:rPr>
                <w:rFonts w:cs="Arial"/>
                <w:sz w:val="20"/>
                <w:szCs w:val="20"/>
                <w:lang w:val="hu-HU"/>
              </w:rPr>
              <w:t>.</w:t>
            </w:r>
          </w:p>
        </w:tc>
      </w:tr>
      <w:tr w:rsidR="002863ED" w:rsidRPr="00F10D05" w14:paraId="087E0E83" w14:textId="77777777" w:rsidTr="004A55CB">
        <w:tc>
          <w:tcPr>
            <w:tcW w:w="2689" w:type="dxa"/>
          </w:tcPr>
          <w:p w14:paraId="230589F1" w14:textId="20EB322D" w:rsidR="002863ED" w:rsidRPr="00F10D05" w:rsidRDefault="002863ED" w:rsidP="00AF7D52">
            <w:pPr>
              <w:spacing w:before="120" w:after="120"/>
              <w:jc w:val="both"/>
              <w:rPr>
                <w:rFonts w:cs="Arial"/>
                <w:sz w:val="20"/>
                <w:szCs w:val="20"/>
                <w:lang w:val="hu-HU"/>
              </w:rPr>
            </w:pPr>
            <w:r w:rsidRPr="00F10D05">
              <w:rPr>
                <w:rFonts w:cs="Arial"/>
                <w:sz w:val="20"/>
                <w:szCs w:val="20"/>
                <w:lang w:val="hu-HU"/>
              </w:rPr>
              <w:t>Hígítás</w:t>
            </w:r>
          </w:p>
        </w:tc>
        <w:tc>
          <w:tcPr>
            <w:tcW w:w="6945" w:type="dxa"/>
          </w:tcPr>
          <w:p w14:paraId="26899DF9" w14:textId="77F20C72" w:rsidR="002863ED" w:rsidRPr="004A55CB" w:rsidRDefault="00536639" w:rsidP="00AF7D52">
            <w:pPr>
              <w:spacing w:before="120" w:after="120"/>
              <w:jc w:val="both"/>
              <w:rPr>
                <w:rFonts w:cs="Arial"/>
                <w:sz w:val="20"/>
                <w:szCs w:val="20"/>
                <w:lang w:val="hu-HU"/>
              </w:rPr>
            </w:pPr>
            <w:r w:rsidRPr="004A55CB">
              <w:rPr>
                <w:rFonts w:cs="Arial"/>
                <w:sz w:val="20"/>
                <w:szCs w:val="20"/>
                <w:lang w:val="hu-HU"/>
              </w:rPr>
              <w:t xml:space="preserve">A Sadolin </w:t>
            </w:r>
            <w:proofErr w:type="spellStart"/>
            <w:r w:rsidRPr="004A55CB">
              <w:rPr>
                <w:rFonts w:cs="Arial"/>
                <w:sz w:val="20"/>
                <w:szCs w:val="20"/>
                <w:lang w:val="hu-HU"/>
              </w:rPr>
              <w:t>Ext</w:t>
            </w:r>
            <w:r w:rsidR="00FF1A82" w:rsidRPr="004A55CB">
              <w:rPr>
                <w:rFonts w:cs="Arial"/>
                <w:sz w:val="20"/>
                <w:szCs w:val="20"/>
                <w:lang w:val="hu-HU"/>
              </w:rPr>
              <w:t>reme</w:t>
            </w:r>
            <w:proofErr w:type="spellEnd"/>
            <w:r w:rsidRPr="004A55CB">
              <w:rPr>
                <w:rFonts w:cs="Arial"/>
                <w:sz w:val="20"/>
                <w:szCs w:val="20"/>
                <w:lang w:val="hu-HU"/>
              </w:rPr>
              <w:t xml:space="preserve"> felhasználásra kész, hígítani nem szükséges. </w:t>
            </w:r>
          </w:p>
        </w:tc>
      </w:tr>
      <w:tr w:rsidR="002863ED" w:rsidRPr="00F10D05" w14:paraId="3565CF2C" w14:textId="77777777" w:rsidTr="004A55CB">
        <w:tc>
          <w:tcPr>
            <w:tcW w:w="2689" w:type="dxa"/>
          </w:tcPr>
          <w:p w14:paraId="1CFDC887" w14:textId="1D02E28E" w:rsidR="002863ED" w:rsidRPr="00F10D05" w:rsidRDefault="002863ED" w:rsidP="00AF7D52">
            <w:pPr>
              <w:spacing w:before="120" w:after="120"/>
              <w:jc w:val="both"/>
              <w:rPr>
                <w:rFonts w:cs="Arial"/>
                <w:sz w:val="20"/>
                <w:szCs w:val="20"/>
                <w:lang w:val="hu-HU"/>
              </w:rPr>
            </w:pPr>
            <w:r w:rsidRPr="00F10D05">
              <w:rPr>
                <w:rFonts w:cs="Arial"/>
                <w:sz w:val="20"/>
                <w:szCs w:val="20"/>
                <w:lang w:val="hu-HU"/>
              </w:rPr>
              <w:t>Eszközök tisztítása</w:t>
            </w:r>
          </w:p>
        </w:tc>
        <w:tc>
          <w:tcPr>
            <w:tcW w:w="6945" w:type="dxa"/>
          </w:tcPr>
          <w:p w14:paraId="4F02B1A4" w14:textId="4ABFF905" w:rsidR="002863ED" w:rsidRPr="004A55CB" w:rsidRDefault="00EA2EE4" w:rsidP="00AF7D52">
            <w:pPr>
              <w:spacing w:before="120" w:after="120"/>
              <w:jc w:val="both"/>
              <w:rPr>
                <w:rFonts w:cs="Arial"/>
                <w:sz w:val="20"/>
                <w:szCs w:val="20"/>
                <w:lang w:val="hu-HU"/>
              </w:rPr>
            </w:pPr>
            <w:r w:rsidRPr="004A55CB">
              <w:rPr>
                <w:rFonts w:cs="Arial"/>
                <w:sz w:val="20"/>
                <w:szCs w:val="20"/>
                <w:lang w:val="hu-HU"/>
              </w:rPr>
              <w:t>Csapvízzel.</w:t>
            </w:r>
          </w:p>
        </w:tc>
      </w:tr>
      <w:tr w:rsidR="002863ED" w:rsidRPr="00F10D05" w14:paraId="37D08326" w14:textId="77777777" w:rsidTr="004A55CB">
        <w:tc>
          <w:tcPr>
            <w:tcW w:w="2689" w:type="dxa"/>
          </w:tcPr>
          <w:p w14:paraId="16913FDC" w14:textId="1B174A6C" w:rsidR="002863ED" w:rsidRPr="00F10D05" w:rsidRDefault="002863ED" w:rsidP="00AF7D52">
            <w:pPr>
              <w:spacing w:before="120" w:after="120"/>
              <w:jc w:val="both"/>
              <w:rPr>
                <w:rFonts w:cs="Arial"/>
                <w:sz w:val="20"/>
                <w:szCs w:val="20"/>
                <w:lang w:val="hu-HU"/>
              </w:rPr>
            </w:pPr>
            <w:r w:rsidRPr="00F10D05">
              <w:rPr>
                <w:rFonts w:cs="Arial"/>
                <w:sz w:val="20"/>
                <w:szCs w:val="20"/>
                <w:lang w:val="hu-HU"/>
              </w:rPr>
              <w:t>Minőségmegőrzési idő</w:t>
            </w:r>
          </w:p>
        </w:tc>
        <w:tc>
          <w:tcPr>
            <w:tcW w:w="6945" w:type="dxa"/>
          </w:tcPr>
          <w:p w14:paraId="5D4B9643" w14:textId="1CB9034E" w:rsidR="002863ED" w:rsidRPr="004A55CB" w:rsidRDefault="002863ED" w:rsidP="00AF7D52">
            <w:pPr>
              <w:spacing w:before="120" w:after="120"/>
              <w:jc w:val="both"/>
              <w:rPr>
                <w:rFonts w:cs="Arial"/>
                <w:sz w:val="20"/>
                <w:szCs w:val="20"/>
                <w:lang w:val="hu-HU"/>
              </w:rPr>
            </w:pPr>
            <w:r w:rsidRPr="004A55CB">
              <w:rPr>
                <w:rFonts w:cs="Arial"/>
                <w:sz w:val="20"/>
                <w:szCs w:val="20"/>
                <w:lang w:val="hu-HU"/>
              </w:rPr>
              <w:t>A termék csomagolásán található. (hónap, év)</w:t>
            </w:r>
          </w:p>
        </w:tc>
      </w:tr>
      <w:tr w:rsidR="002863ED" w:rsidRPr="00F10D05" w14:paraId="6A67A07F" w14:textId="77777777" w:rsidTr="004A55CB">
        <w:tc>
          <w:tcPr>
            <w:tcW w:w="9634" w:type="dxa"/>
            <w:gridSpan w:val="2"/>
            <w:shd w:val="clear" w:color="auto" w:fill="000000" w:themeFill="text1"/>
          </w:tcPr>
          <w:p w14:paraId="1A27229D" w14:textId="652B114C" w:rsidR="002863ED" w:rsidRPr="004A55CB" w:rsidRDefault="002863ED" w:rsidP="00AF7D52">
            <w:pPr>
              <w:spacing w:before="120" w:after="120"/>
              <w:jc w:val="center"/>
              <w:rPr>
                <w:rFonts w:cs="Arial"/>
                <w:sz w:val="20"/>
                <w:szCs w:val="20"/>
                <w:lang w:val="hu-HU"/>
              </w:rPr>
            </w:pPr>
            <w:r w:rsidRPr="004A55CB">
              <w:rPr>
                <w:rFonts w:cs="Arial"/>
                <w:sz w:val="20"/>
                <w:szCs w:val="20"/>
                <w:lang w:val="hu-HU"/>
              </w:rPr>
              <w:lastRenderedPageBreak/>
              <w:t>ALKALMAZÁS</w:t>
            </w:r>
          </w:p>
        </w:tc>
      </w:tr>
      <w:tr w:rsidR="002863ED" w:rsidRPr="00F10D05" w14:paraId="09F35929" w14:textId="77777777" w:rsidTr="004A55CB">
        <w:tc>
          <w:tcPr>
            <w:tcW w:w="2689" w:type="dxa"/>
          </w:tcPr>
          <w:p w14:paraId="274CD0DD" w14:textId="3786556F" w:rsidR="002863ED" w:rsidRPr="00F10D05" w:rsidRDefault="002863ED" w:rsidP="00AF7D52">
            <w:pPr>
              <w:spacing w:before="120" w:after="120"/>
              <w:jc w:val="both"/>
              <w:rPr>
                <w:rFonts w:cs="Arial"/>
                <w:sz w:val="20"/>
                <w:szCs w:val="20"/>
                <w:lang w:val="hu-HU"/>
              </w:rPr>
            </w:pPr>
            <w:r w:rsidRPr="00F10D05">
              <w:rPr>
                <w:rFonts w:cs="Arial"/>
                <w:sz w:val="20"/>
                <w:szCs w:val="20"/>
                <w:lang w:val="hu-HU"/>
              </w:rPr>
              <w:t>Termék előkészítés:</w:t>
            </w:r>
          </w:p>
        </w:tc>
        <w:tc>
          <w:tcPr>
            <w:tcW w:w="6945" w:type="dxa"/>
          </w:tcPr>
          <w:p w14:paraId="48F56A14" w14:textId="378859DE" w:rsidR="002863ED" w:rsidRPr="004A55CB" w:rsidRDefault="002863ED" w:rsidP="00AF7D52">
            <w:pPr>
              <w:spacing w:before="120" w:after="120"/>
              <w:jc w:val="both"/>
              <w:rPr>
                <w:rFonts w:cs="Arial"/>
                <w:sz w:val="20"/>
                <w:szCs w:val="20"/>
                <w:lang w:val="hu-HU"/>
              </w:rPr>
            </w:pPr>
            <w:r w:rsidRPr="004A55CB">
              <w:rPr>
                <w:rFonts w:cs="Arial"/>
                <w:sz w:val="20"/>
                <w:szCs w:val="20"/>
                <w:lang w:val="hu-HU"/>
              </w:rPr>
              <w:t>Felhasználás előtt alaposan keverje át. Használat előtt tárolja a terméket szobahőmérsékleten legalább két órán keresztül.</w:t>
            </w:r>
          </w:p>
        </w:tc>
      </w:tr>
      <w:tr w:rsidR="00AF7D52" w:rsidRPr="00F10D05" w14:paraId="3850CACE" w14:textId="77777777" w:rsidTr="004A55CB">
        <w:tc>
          <w:tcPr>
            <w:tcW w:w="2689" w:type="dxa"/>
          </w:tcPr>
          <w:p w14:paraId="0E5F96B8" w14:textId="39385F7B" w:rsidR="00AF7D52" w:rsidRPr="00F10D05" w:rsidRDefault="00AF7D52" w:rsidP="00AF7D52">
            <w:pPr>
              <w:spacing w:before="120" w:after="120"/>
              <w:jc w:val="both"/>
              <w:rPr>
                <w:rFonts w:cs="Arial"/>
                <w:sz w:val="20"/>
                <w:szCs w:val="20"/>
              </w:rPr>
            </w:pPr>
            <w:r w:rsidRPr="00F10D05">
              <w:rPr>
                <w:rFonts w:cs="Arial"/>
                <w:sz w:val="20"/>
                <w:szCs w:val="20"/>
                <w:lang w:val="hu-HU"/>
              </w:rPr>
              <w:t>Előkészítés, festés</w:t>
            </w:r>
          </w:p>
        </w:tc>
        <w:tc>
          <w:tcPr>
            <w:tcW w:w="6945" w:type="dxa"/>
          </w:tcPr>
          <w:p w14:paraId="523BA3E1" w14:textId="103779AA" w:rsidR="00AF7D52" w:rsidRPr="004A55CB" w:rsidRDefault="00AF7D52" w:rsidP="00AF7D52">
            <w:pPr>
              <w:spacing w:before="120" w:after="120"/>
              <w:jc w:val="both"/>
              <w:rPr>
                <w:rFonts w:cs="Arial"/>
                <w:sz w:val="20"/>
                <w:szCs w:val="20"/>
                <w:lang w:val="hu-HU"/>
              </w:rPr>
            </w:pPr>
            <w:r w:rsidRPr="004A55CB">
              <w:rPr>
                <w:rFonts w:cs="Arial"/>
                <w:sz w:val="20"/>
                <w:szCs w:val="20"/>
                <w:lang w:val="hu-HU"/>
              </w:rPr>
              <w:t>A festetlen, új fa légszáraz, tiszta legyen. A gyantakiválásokat H-400 Észter hígítóval kell lemosni.</w:t>
            </w:r>
            <w:r w:rsidR="00200959" w:rsidRPr="00200959">
              <w:rPr>
                <w:lang w:val="hu-HU"/>
              </w:rPr>
              <w:t xml:space="preserve"> </w:t>
            </w:r>
            <w:r w:rsidR="00200959" w:rsidRPr="00200959">
              <w:rPr>
                <w:rFonts w:cs="Arial"/>
                <w:sz w:val="20"/>
                <w:szCs w:val="20"/>
                <w:lang w:val="hu-HU"/>
              </w:rPr>
              <w:t>Új felület: gyalult felület esetén a felületet mindenképpen meg kell csiszolni.</w:t>
            </w:r>
            <w:r w:rsidR="00200959">
              <w:rPr>
                <w:rFonts w:cs="Arial"/>
                <w:sz w:val="20"/>
                <w:szCs w:val="20"/>
                <w:lang w:val="hu-HU"/>
              </w:rPr>
              <w:t xml:space="preserve"> </w:t>
            </w:r>
            <w:r w:rsidRPr="004A55CB">
              <w:rPr>
                <w:rFonts w:cs="Arial"/>
                <w:sz w:val="20"/>
                <w:szCs w:val="20"/>
                <w:lang w:val="hu-HU"/>
              </w:rPr>
              <w:t xml:space="preserve">A degradálódott, szürke fafelületet le kell csiszolni vagy Sadolin </w:t>
            </w:r>
            <w:proofErr w:type="spellStart"/>
            <w:r w:rsidRPr="004A55CB">
              <w:rPr>
                <w:rFonts w:cs="Arial"/>
                <w:sz w:val="20"/>
                <w:szCs w:val="20"/>
                <w:lang w:val="hu-HU"/>
              </w:rPr>
              <w:t>Fresh</w:t>
            </w:r>
            <w:proofErr w:type="spellEnd"/>
            <w:r w:rsidRPr="004A55CB">
              <w:rPr>
                <w:rFonts w:cs="Arial"/>
                <w:sz w:val="20"/>
                <w:szCs w:val="20"/>
                <w:lang w:val="hu-HU"/>
              </w:rPr>
              <w:t xml:space="preserve">-el felújítani. Az esetleges lyukakat, repedéseket Sadolin Folyékony Fával tapaszolni. </w:t>
            </w:r>
          </w:p>
          <w:p w14:paraId="0425C705" w14:textId="253F3EE1" w:rsidR="00AF7D52" w:rsidRPr="004A55CB" w:rsidRDefault="00AF7D52" w:rsidP="00AF7D52">
            <w:pPr>
              <w:spacing w:before="120" w:after="120"/>
              <w:jc w:val="both"/>
              <w:rPr>
                <w:rFonts w:cs="Arial"/>
                <w:sz w:val="20"/>
                <w:szCs w:val="20"/>
                <w:lang w:val="hu-HU"/>
              </w:rPr>
            </w:pPr>
            <w:r w:rsidRPr="004A55CB">
              <w:rPr>
                <w:rFonts w:cs="Arial"/>
                <w:sz w:val="20"/>
                <w:szCs w:val="20"/>
                <w:lang w:val="hu-HU"/>
              </w:rPr>
              <w:t xml:space="preserve">Alapozás: Sadolin </w:t>
            </w:r>
            <w:proofErr w:type="spellStart"/>
            <w:r w:rsidRPr="004A55CB">
              <w:rPr>
                <w:rFonts w:cs="Arial"/>
                <w:sz w:val="20"/>
                <w:szCs w:val="20"/>
                <w:lang w:val="hu-HU"/>
              </w:rPr>
              <w:t>Base</w:t>
            </w:r>
            <w:proofErr w:type="spellEnd"/>
            <w:r w:rsidRPr="004A55CB">
              <w:rPr>
                <w:rFonts w:cs="Arial"/>
                <w:sz w:val="20"/>
                <w:szCs w:val="20"/>
                <w:lang w:val="hu-HU"/>
              </w:rPr>
              <w:t xml:space="preserve"> impregnálószerrel telítésig alapozni. Alapozás után 2 óra elteltével ecsettel hordjuk fel 2-3 rétegben. Alapozó nélkül 3 réteg szükséges. A bevonat karbantartása: a jól tapadó, ép, repedezésmentes lazúr bevonatot 1-2 réteg Sadolin </w:t>
            </w:r>
            <w:proofErr w:type="spellStart"/>
            <w:r w:rsidRPr="004A55CB">
              <w:rPr>
                <w:rFonts w:cs="Arial"/>
                <w:sz w:val="20"/>
                <w:szCs w:val="20"/>
                <w:lang w:val="hu-HU"/>
              </w:rPr>
              <w:t>Extreme</w:t>
            </w:r>
            <w:proofErr w:type="spellEnd"/>
            <w:r w:rsidRPr="004A55CB">
              <w:rPr>
                <w:rFonts w:cs="Arial"/>
                <w:sz w:val="20"/>
                <w:szCs w:val="20"/>
                <w:lang w:val="hu-HU"/>
              </w:rPr>
              <w:t xml:space="preserve"> vizes bázisú lazúrral átfestjük. Ne használjuk 8 °C alatt és 30 °C felett; nem kellően száraz fára (18 % nedvességtartalom felett); festett vagy lakkozott felületre. A festetlen, új fa száraz, tiszta, zsírmentes és egyenletesen csiszolt legyen. A gyantakiválást </w:t>
            </w:r>
            <w:proofErr w:type="spellStart"/>
            <w:r w:rsidRPr="004A55CB">
              <w:rPr>
                <w:rFonts w:cs="Arial"/>
                <w:sz w:val="20"/>
                <w:szCs w:val="20"/>
                <w:lang w:val="hu-HU"/>
              </w:rPr>
              <w:t>Supralux</w:t>
            </w:r>
            <w:proofErr w:type="spellEnd"/>
            <w:r w:rsidRPr="004A55CB">
              <w:rPr>
                <w:rFonts w:cs="Arial"/>
                <w:sz w:val="20"/>
                <w:szCs w:val="20"/>
                <w:lang w:val="hu-HU"/>
              </w:rPr>
              <w:t xml:space="preserve"> H-400 hígítóval kell lemosni. A fát Sadolin </w:t>
            </w:r>
            <w:proofErr w:type="spellStart"/>
            <w:r w:rsidRPr="004A55CB">
              <w:rPr>
                <w:rFonts w:cs="Arial"/>
                <w:sz w:val="20"/>
                <w:szCs w:val="20"/>
                <w:lang w:val="hu-HU"/>
              </w:rPr>
              <w:t>Base</w:t>
            </w:r>
            <w:proofErr w:type="spellEnd"/>
            <w:r w:rsidRPr="004A55CB">
              <w:rPr>
                <w:rFonts w:cs="Arial"/>
                <w:sz w:val="20"/>
                <w:szCs w:val="20"/>
                <w:lang w:val="hu-HU"/>
              </w:rPr>
              <w:t xml:space="preserve"> Plus-</w:t>
            </w:r>
            <w:proofErr w:type="spellStart"/>
            <w:r w:rsidRPr="004A55CB">
              <w:rPr>
                <w:rFonts w:cs="Arial"/>
                <w:sz w:val="20"/>
                <w:szCs w:val="20"/>
                <w:lang w:val="hu-HU"/>
              </w:rPr>
              <w:t>al</w:t>
            </w:r>
            <w:proofErr w:type="spellEnd"/>
            <w:r w:rsidRPr="004A55CB">
              <w:rPr>
                <w:rFonts w:cs="Arial"/>
                <w:sz w:val="20"/>
                <w:szCs w:val="20"/>
                <w:lang w:val="hu-HU"/>
              </w:rPr>
              <w:t xml:space="preserve"> alapozzuk </w:t>
            </w:r>
            <w:proofErr w:type="spellStart"/>
            <w:r w:rsidRPr="004A55CB">
              <w:rPr>
                <w:rFonts w:cs="Arial"/>
                <w:sz w:val="20"/>
                <w:szCs w:val="20"/>
                <w:lang w:val="hu-HU"/>
              </w:rPr>
              <w:t>kültérben</w:t>
            </w:r>
            <w:proofErr w:type="spellEnd"/>
            <w:r w:rsidRPr="004A55CB">
              <w:rPr>
                <w:rFonts w:cs="Arial"/>
                <w:sz w:val="20"/>
                <w:szCs w:val="20"/>
                <w:lang w:val="hu-HU"/>
              </w:rPr>
              <w:t>. Elhasználódott, szürke fafelületet előzetesen le kell csiszolni és portalanítani. A repedezett, lazán tapadó bevonatot el kell távolítani, majd úgy kell eljárni, mint új felületeknél</w:t>
            </w:r>
            <w:r w:rsidR="00EA2EE4" w:rsidRPr="004A55CB">
              <w:rPr>
                <w:rFonts w:cs="Arial"/>
                <w:sz w:val="20"/>
                <w:szCs w:val="20"/>
                <w:lang w:val="hu-HU"/>
              </w:rPr>
              <w:t xml:space="preserve">. </w:t>
            </w:r>
          </w:p>
        </w:tc>
      </w:tr>
      <w:tr w:rsidR="002863ED" w:rsidRPr="00F10D05" w14:paraId="69EBF86E" w14:textId="77777777" w:rsidTr="004A55CB">
        <w:tc>
          <w:tcPr>
            <w:tcW w:w="2689" w:type="dxa"/>
          </w:tcPr>
          <w:p w14:paraId="05C03375" w14:textId="4CCEF052" w:rsidR="002863ED" w:rsidRPr="00F10D05" w:rsidRDefault="002863ED" w:rsidP="00AF7D52">
            <w:pPr>
              <w:spacing w:before="120" w:after="120"/>
              <w:rPr>
                <w:rFonts w:cs="Arial"/>
                <w:sz w:val="20"/>
                <w:szCs w:val="20"/>
                <w:lang w:val="hu-HU"/>
              </w:rPr>
            </w:pPr>
            <w:r w:rsidRPr="00F10D05">
              <w:rPr>
                <w:rFonts w:cs="Arial"/>
                <w:sz w:val="20"/>
                <w:szCs w:val="20"/>
                <w:lang w:val="hu-HU"/>
              </w:rPr>
              <w:t>Eszközök tisztítása</w:t>
            </w:r>
            <w:r w:rsidR="00CD0922" w:rsidRPr="00F10D05">
              <w:rPr>
                <w:rFonts w:cs="Arial"/>
                <w:sz w:val="20"/>
                <w:szCs w:val="20"/>
                <w:lang w:val="hu-HU"/>
              </w:rPr>
              <w:t xml:space="preserve">, </w:t>
            </w:r>
            <w:proofErr w:type="spellStart"/>
            <w:r w:rsidR="00CD0922" w:rsidRPr="00F10D05">
              <w:rPr>
                <w:rFonts w:cs="Arial"/>
                <w:sz w:val="20"/>
                <w:szCs w:val="20"/>
                <w:lang w:val="hu-HU"/>
              </w:rPr>
              <w:t>csomagolóedényzet</w:t>
            </w:r>
            <w:proofErr w:type="spellEnd"/>
          </w:p>
        </w:tc>
        <w:tc>
          <w:tcPr>
            <w:tcW w:w="6945" w:type="dxa"/>
          </w:tcPr>
          <w:p w14:paraId="30C6D36A" w14:textId="5B4F81C8" w:rsidR="00D4236D" w:rsidRPr="004A55CB" w:rsidRDefault="00BA2430" w:rsidP="00AF7D52">
            <w:pPr>
              <w:spacing w:before="120" w:after="120"/>
              <w:jc w:val="both"/>
              <w:rPr>
                <w:rFonts w:cs="Arial"/>
                <w:sz w:val="20"/>
                <w:szCs w:val="20"/>
                <w:lang w:val="hu-HU"/>
              </w:rPr>
            </w:pPr>
            <w:r w:rsidRPr="004A55CB">
              <w:rPr>
                <w:rFonts w:cs="Arial"/>
                <w:sz w:val="20"/>
                <w:szCs w:val="20"/>
                <w:lang w:val="hu-HU"/>
              </w:rPr>
              <w:t xml:space="preserve">Festőszerszámok tisztítása: csapvízzel. </w:t>
            </w:r>
          </w:p>
          <w:p w14:paraId="3982CC7F" w14:textId="6E57939D" w:rsidR="002863ED" w:rsidRPr="004A55CB" w:rsidRDefault="002863ED" w:rsidP="00AF7D52">
            <w:pPr>
              <w:spacing w:before="120" w:after="120"/>
              <w:jc w:val="both"/>
              <w:rPr>
                <w:rFonts w:cs="Arial"/>
                <w:sz w:val="20"/>
                <w:szCs w:val="20"/>
                <w:lang w:val="hu-HU"/>
              </w:rPr>
            </w:pPr>
            <w:r w:rsidRPr="004A55CB">
              <w:rPr>
                <w:rFonts w:cs="Arial"/>
                <w:sz w:val="20"/>
                <w:szCs w:val="20"/>
                <w:lang w:val="hu-HU"/>
              </w:rPr>
              <w:t>Festés során a szerszámokból a lehető legtöbb festéket fel kell használni. Csak a teljesen kiürült és kitisztított csomagolóedény hasznosítható újra. A kiürült csomagolóedény élelmiszerek tárolására nem alkalmas.</w:t>
            </w:r>
          </w:p>
        </w:tc>
      </w:tr>
      <w:tr w:rsidR="002863ED" w:rsidRPr="00F10D05" w14:paraId="7845D3CA" w14:textId="77777777" w:rsidTr="004A55CB">
        <w:tc>
          <w:tcPr>
            <w:tcW w:w="2689" w:type="dxa"/>
          </w:tcPr>
          <w:p w14:paraId="3C9DA5B4" w14:textId="7B3374DE" w:rsidR="002863ED" w:rsidRPr="00F10D05" w:rsidRDefault="002863ED" w:rsidP="00AF7D52">
            <w:pPr>
              <w:spacing w:before="120" w:after="120"/>
              <w:jc w:val="both"/>
              <w:rPr>
                <w:rFonts w:cs="Arial"/>
                <w:sz w:val="20"/>
                <w:szCs w:val="20"/>
                <w:lang w:val="hu-HU"/>
              </w:rPr>
            </w:pPr>
            <w:r w:rsidRPr="00F10D05">
              <w:rPr>
                <w:rFonts w:cs="Arial"/>
                <w:sz w:val="20"/>
                <w:szCs w:val="20"/>
                <w:lang w:val="hu-HU"/>
              </w:rPr>
              <w:t>Tárolás és szállítás</w:t>
            </w:r>
          </w:p>
        </w:tc>
        <w:tc>
          <w:tcPr>
            <w:tcW w:w="6945" w:type="dxa"/>
          </w:tcPr>
          <w:p w14:paraId="06EAC9A1" w14:textId="5EF4E412" w:rsidR="002863ED" w:rsidRPr="004A55CB" w:rsidRDefault="002863ED" w:rsidP="00AF7D52">
            <w:pPr>
              <w:spacing w:before="120" w:after="120"/>
              <w:jc w:val="both"/>
              <w:rPr>
                <w:rFonts w:cs="Arial"/>
                <w:sz w:val="20"/>
                <w:szCs w:val="20"/>
                <w:lang w:val="hu-HU"/>
              </w:rPr>
            </w:pPr>
            <w:r w:rsidRPr="004A55CB">
              <w:rPr>
                <w:rFonts w:cs="Arial"/>
                <w:sz w:val="20"/>
                <w:szCs w:val="20"/>
                <w:lang w:val="hu-HU"/>
              </w:rPr>
              <w:t>A még fel nem használt vagy megmaradt festéket tárolja hőtől és közvetlen napfénytől védve az eredeti, jól lezárt csomagolásban +5°C és +</w:t>
            </w:r>
            <w:r w:rsidR="000E02D3" w:rsidRPr="004A55CB">
              <w:rPr>
                <w:rFonts w:cs="Arial"/>
                <w:sz w:val="20"/>
                <w:szCs w:val="20"/>
                <w:lang w:val="hu-HU"/>
              </w:rPr>
              <w:t>30</w:t>
            </w:r>
            <w:r w:rsidRPr="004A55CB">
              <w:rPr>
                <w:rFonts w:cs="Arial"/>
                <w:sz w:val="20"/>
                <w:szCs w:val="20"/>
                <w:lang w:val="hu-HU"/>
              </w:rPr>
              <w:t>°C között.</w:t>
            </w:r>
            <w:r w:rsidR="000E02D3" w:rsidRPr="004A55CB">
              <w:rPr>
                <w:rFonts w:cs="Arial"/>
                <w:sz w:val="20"/>
                <w:szCs w:val="20"/>
                <w:lang w:val="hu-HU"/>
              </w:rPr>
              <w:t xml:space="preserve"> Fagytól óvjuk!</w:t>
            </w:r>
            <w:r w:rsidRPr="004A55CB">
              <w:rPr>
                <w:rFonts w:cs="Arial"/>
                <w:sz w:val="20"/>
                <w:szCs w:val="20"/>
                <w:lang w:val="hu-HU"/>
              </w:rPr>
              <w:t xml:space="preserve"> </w:t>
            </w:r>
          </w:p>
        </w:tc>
      </w:tr>
      <w:tr w:rsidR="002863ED" w:rsidRPr="00F10D05" w14:paraId="4511B24E" w14:textId="278BADF9" w:rsidTr="004A55CB">
        <w:tc>
          <w:tcPr>
            <w:tcW w:w="2689" w:type="dxa"/>
          </w:tcPr>
          <w:p w14:paraId="29DAF654" w14:textId="070F90D2" w:rsidR="002863ED" w:rsidRPr="00F10D05" w:rsidRDefault="002863ED" w:rsidP="00AF7D52">
            <w:pPr>
              <w:spacing w:before="120" w:after="120"/>
              <w:jc w:val="both"/>
              <w:rPr>
                <w:rFonts w:cs="Arial"/>
                <w:sz w:val="20"/>
                <w:szCs w:val="20"/>
                <w:lang w:val="hu-HU"/>
              </w:rPr>
            </w:pPr>
            <w:r w:rsidRPr="00F10D05">
              <w:rPr>
                <w:rFonts w:cs="Arial"/>
                <w:sz w:val="20"/>
                <w:szCs w:val="20"/>
                <w:lang w:val="hu-HU"/>
              </w:rPr>
              <w:t>Környezetvédelem</w:t>
            </w:r>
          </w:p>
        </w:tc>
        <w:tc>
          <w:tcPr>
            <w:tcW w:w="6945" w:type="dxa"/>
            <w:vAlign w:val="center"/>
          </w:tcPr>
          <w:p w14:paraId="04B89609" w14:textId="77777777" w:rsidR="002863ED" w:rsidRPr="004A55CB" w:rsidRDefault="002863ED" w:rsidP="00AF7D52">
            <w:pPr>
              <w:jc w:val="both"/>
              <w:rPr>
                <w:rFonts w:cs="Arial"/>
                <w:sz w:val="20"/>
                <w:szCs w:val="20"/>
                <w:lang w:val="hu-HU"/>
              </w:rPr>
            </w:pPr>
            <w:r w:rsidRPr="004A55CB">
              <w:rPr>
                <w:rFonts w:cs="Arial"/>
                <w:noProof/>
                <w:sz w:val="20"/>
                <w:szCs w:val="20"/>
              </w:rPr>
              <w:drawing>
                <wp:anchor distT="0" distB="0" distL="114300" distR="114300" simplePos="0" relativeHeight="251658240" behindDoc="1" locked="0" layoutInCell="1" allowOverlap="1" wp14:anchorId="26B7CD49" wp14:editId="7DC5E8FC">
                  <wp:simplePos x="0" y="0"/>
                  <wp:positionH relativeFrom="column">
                    <wp:posOffset>-1169035</wp:posOffset>
                  </wp:positionH>
                  <wp:positionV relativeFrom="paragraph">
                    <wp:posOffset>120015</wp:posOffset>
                  </wp:positionV>
                  <wp:extent cx="1195070" cy="588010"/>
                  <wp:effectExtent l="0" t="0" r="5080" b="2540"/>
                  <wp:wrapTight wrapText="bothSides">
                    <wp:wrapPolygon edited="0">
                      <wp:start x="0" y="0"/>
                      <wp:lineTo x="0" y="20994"/>
                      <wp:lineTo x="21348" y="20994"/>
                      <wp:lineTo x="21348" y="0"/>
                      <wp:lineTo x="0" y="0"/>
                    </wp:wrapPolygon>
                  </wp:wrapTight>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5070" cy="588010"/>
                          </a:xfrm>
                          <a:prstGeom prst="rect">
                            <a:avLst/>
                          </a:prstGeom>
                        </pic:spPr>
                      </pic:pic>
                    </a:graphicData>
                  </a:graphic>
                  <wp14:sizeRelH relativeFrom="page">
                    <wp14:pctWidth>0</wp14:pctWidth>
                  </wp14:sizeRelH>
                  <wp14:sizeRelV relativeFrom="page">
                    <wp14:pctHeight>0</wp14:pctHeight>
                  </wp14:sizeRelV>
                </wp:anchor>
              </w:drawing>
            </w:r>
          </w:p>
          <w:p w14:paraId="38608E6B" w14:textId="77777777" w:rsidR="002863ED" w:rsidRPr="004A55CB" w:rsidRDefault="002863ED" w:rsidP="00AF7D52">
            <w:pPr>
              <w:jc w:val="both"/>
              <w:rPr>
                <w:rFonts w:cs="Arial"/>
                <w:sz w:val="20"/>
                <w:szCs w:val="20"/>
                <w:lang w:val="hu-HU"/>
              </w:rPr>
            </w:pPr>
            <w:r w:rsidRPr="004A55CB">
              <w:rPr>
                <w:rFonts w:cs="Arial"/>
                <w:sz w:val="20"/>
                <w:szCs w:val="20"/>
                <w:lang w:val="hu-HU"/>
              </w:rPr>
              <w:t>A maradék festéket tartsa jól szellőző helyen, védje a fagytól és az erős napsütéstől. A festéket ne öntse a lefolyóba, vagy természetes vizekbe.</w:t>
            </w:r>
          </w:p>
          <w:p w14:paraId="5028B76D" w14:textId="530AD8D6" w:rsidR="002863ED" w:rsidRPr="004A55CB" w:rsidRDefault="002863ED" w:rsidP="00AF7D52">
            <w:pPr>
              <w:spacing w:before="120" w:after="120"/>
              <w:jc w:val="both"/>
              <w:rPr>
                <w:rFonts w:cs="Arial"/>
                <w:sz w:val="20"/>
                <w:szCs w:val="20"/>
                <w:lang w:val="hu-HU"/>
              </w:rPr>
            </w:pPr>
            <w:r w:rsidRPr="004A55CB">
              <w:rPr>
                <w:rFonts w:cs="Arial"/>
                <w:sz w:val="20"/>
                <w:szCs w:val="20"/>
                <w:lang w:val="hu-HU"/>
              </w:rPr>
              <w:t xml:space="preserve">Ha befejezte a festést, a szerszámokban maradt festéket újságpapírral itassa fel. A tartalom/edény elhelyezése hulladékként: valamennyi helyi, nemzeti, és nemzetközi szabályozás szerint. </w:t>
            </w:r>
          </w:p>
        </w:tc>
      </w:tr>
      <w:tr w:rsidR="002863ED" w:rsidRPr="00F10D05" w14:paraId="41F26FDE" w14:textId="77777777" w:rsidTr="004A55CB">
        <w:tc>
          <w:tcPr>
            <w:tcW w:w="2689" w:type="dxa"/>
          </w:tcPr>
          <w:p w14:paraId="1149F515" w14:textId="2D67F0E0" w:rsidR="002863ED" w:rsidRPr="00F10D05" w:rsidRDefault="002863ED" w:rsidP="00AF7D52">
            <w:pPr>
              <w:spacing w:before="120" w:after="120"/>
              <w:jc w:val="both"/>
              <w:rPr>
                <w:rFonts w:cs="Arial"/>
                <w:sz w:val="20"/>
                <w:szCs w:val="20"/>
                <w:lang w:val="hu-HU"/>
              </w:rPr>
            </w:pPr>
            <w:r w:rsidRPr="00F10D05">
              <w:rPr>
                <w:rFonts w:cs="Arial"/>
                <w:sz w:val="20"/>
                <w:szCs w:val="20"/>
                <w:lang w:val="hu-HU"/>
              </w:rPr>
              <w:t>Kiegészítő információ</w:t>
            </w:r>
          </w:p>
        </w:tc>
        <w:tc>
          <w:tcPr>
            <w:tcW w:w="6945" w:type="dxa"/>
          </w:tcPr>
          <w:p w14:paraId="5D4BD9E1" w14:textId="07908A95" w:rsidR="002863ED" w:rsidRPr="004A55CB" w:rsidRDefault="002863ED" w:rsidP="00AF7D52">
            <w:pPr>
              <w:spacing w:before="120" w:after="120"/>
              <w:jc w:val="both"/>
              <w:rPr>
                <w:rFonts w:cs="Arial"/>
                <w:sz w:val="20"/>
                <w:szCs w:val="20"/>
                <w:lang w:val="hu-HU"/>
              </w:rPr>
            </w:pPr>
            <w:r w:rsidRPr="004A55CB">
              <w:rPr>
                <w:rFonts w:cs="Arial"/>
                <w:noProof/>
                <w:sz w:val="20"/>
                <w:szCs w:val="20"/>
                <w:lang w:val="hu-HU"/>
              </w:rPr>
              <w:t xml:space="preserve">A technikai adatlap információi jelenlegi tudásunk és a vonatkozó jogszabályok szerint pontosak és megfelelnek a valóságnak, de a gyártó felelősségét nem alapozza meg pl. a raktározási, tárolási, szállítási, felhasználási követelmények be nem tartásából adódóan keletkezett következményekért, mert ezen követelmények betartása nem tartozik jogi értelemben a gyártó hatáskörébe. A termék eredeti céljától eltérő módon és az előírásoktól eltérő felhasználásból adódó károkért a gyártó nem felelős. A technikai adatlap információnak célja, hogy a termék feldolgozására, tárolására és használatára vonatkozóan - jelenlegi tudásunk alapján - általános iránymutatást adjanak. Minden esetben tartsa be a vonatkozó </w:t>
            </w:r>
            <w:r w:rsidRPr="004A55CB">
              <w:rPr>
                <w:rFonts w:cs="Arial"/>
                <w:noProof/>
                <w:sz w:val="20"/>
                <w:szCs w:val="20"/>
                <w:lang w:val="hu-HU"/>
              </w:rPr>
              <w:lastRenderedPageBreak/>
              <w:t>jogszabályokat és tartsa tiszteletben a harmadik személyek jogait. Fenntartjuk a jogot az adatlap előzetes értesítés nélküli megváltoztatására.</w:t>
            </w:r>
          </w:p>
        </w:tc>
      </w:tr>
      <w:tr w:rsidR="002863ED" w:rsidRPr="00F10D05" w14:paraId="14FFB5A3" w14:textId="77777777" w:rsidTr="004A55CB">
        <w:tc>
          <w:tcPr>
            <w:tcW w:w="2689" w:type="dxa"/>
          </w:tcPr>
          <w:p w14:paraId="0CBA7D68" w14:textId="4F213B5D" w:rsidR="002863ED" w:rsidRPr="00F10D05" w:rsidRDefault="002863ED" w:rsidP="00AF7D52">
            <w:pPr>
              <w:spacing w:before="120" w:after="120"/>
              <w:jc w:val="both"/>
              <w:rPr>
                <w:rFonts w:cs="Arial"/>
                <w:sz w:val="20"/>
                <w:szCs w:val="20"/>
                <w:lang w:val="hu-HU"/>
              </w:rPr>
            </w:pPr>
            <w:r w:rsidRPr="00F10D05">
              <w:rPr>
                <w:rFonts w:cs="Arial"/>
                <w:sz w:val="20"/>
                <w:szCs w:val="20"/>
                <w:lang w:val="hu-HU"/>
              </w:rPr>
              <w:lastRenderedPageBreak/>
              <w:t>Építési termék tájékoztató</w:t>
            </w:r>
          </w:p>
        </w:tc>
        <w:tc>
          <w:tcPr>
            <w:tcW w:w="6945" w:type="dxa"/>
          </w:tcPr>
          <w:p w14:paraId="48EF3254" w14:textId="4C6128E4" w:rsidR="002863ED" w:rsidRPr="004A55CB" w:rsidRDefault="002863ED" w:rsidP="00AF7D52">
            <w:pPr>
              <w:jc w:val="both"/>
              <w:rPr>
                <w:rFonts w:cs="Arial"/>
                <w:b/>
                <w:bCs/>
                <w:noProof/>
                <w:sz w:val="20"/>
                <w:szCs w:val="20"/>
                <w:lang w:val="hu-HU"/>
              </w:rPr>
            </w:pPr>
            <w:r w:rsidRPr="004A55CB">
              <w:rPr>
                <w:rFonts w:cs="Arial"/>
                <w:noProof/>
                <w:sz w:val="20"/>
                <w:szCs w:val="20"/>
                <w:lang w:val="hu-HU"/>
              </w:rPr>
              <w:t xml:space="preserve">Az AkzoNobel Coating Zrt. 1138 Budapest, Dunavirág u. 2-6. 1. torony 5. emelet által forgalmazott </w:t>
            </w:r>
            <w:r w:rsidRPr="004A55CB">
              <w:rPr>
                <w:rFonts w:cs="Arial"/>
                <w:b/>
                <w:bCs/>
                <w:noProof/>
                <w:sz w:val="20"/>
                <w:szCs w:val="20"/>
                <w:lang w:val="hu-HU"/>
              </w:rPr>
              <w:t xml:space="preserve">Sadolin </w:t>
            </w:r>
            <w:r w:rsidR="00681E59" w:rsidRPr="004A55CB">
              <w:rPr>
                <w:rFonts w:cs="Arial"/>
                <w:b/>
                <w:bCs/>
                <w:noProof/>
                <w:sz w:val="20"/>
                <w:szCs w:val="20"/>
                <w:lang w:val="hu-HU"/>
              </w:rPr>
              <w:t>Extr</w:t>
            </w:r>
            <w:r w:rsidR="00AF7D52" w:rsidRPr="004A55CB">
              <w:rPr>
                <w:rFonts w:cs="Arial"/>
                <w:b/>
                <w:bCs/>
                <w:noProof/>
                <w:sz w:val="20"/>
                <w:szCs w:val="20"/>
                <w:lang w:val="hu-HU"/>
              </w:rPr>
              <w:t>eme</w:t>
            </w:r>
            <w:r w:rsidRPr="004A55CB">
              <w:rPr>
                <w:rFonts w:cs="Arial"/>
                <w:b/>
                <w:bCs/>
                <w:noProof/>
                <w:sz w:val="20"/>
                <w:szCs w:val="20"/>
                <w:lang w:val="hu-HU"/>
              </w:rPr>
              <w:t xml:space="preserve"> </w:t>
            </w:r>
            <w:r w:rsidRPr="004A55CB">
              <w:rPr>
                <w:rFonts w:cs="Arial"/>
                <w:noProof/>
                <w:sz w:val="20"/>
                <w:szCs w:val="20"/>
                <w:lang w:val="hu-HU"/>
              </w:rPr>
              <w:t xml:space="preserve">termék az építési termékek forgalmazására vonatkozó harmonizált feltételek megállapításáról és a 89/106/EGK tanácsi irányelv hatályon kívül helyezéséről szóló, AZ EURÓPAI PARLAMENT ÉS A TANÁCS 305/2011/EU RENDELETE (2011. március 9.) (EGT-vonatkozású szöveg) 2. Cikk 1. pontja értelmében </w:t>
            </w:r>
            <w:r w:rsidRPr="004A55CB">
              <w:rPr>
                <w:rFonts w:cs="Arial"/>
                <w:b/>
                <w:bCs/>
                <w:noProof/>
                <w:sz w:val="20"/>
                <w:szCs w:val="20"/>
                <w:lang w:val="hu-HU"/>
              </w:rPr>
              <w:t>nem minősül építési terméknek</w:t>
            </w:r>
          </w:p>
          <w:p w14:paraId="1B6AAEAA" w14:textId="77777777" w:rsidR="002863ED" w:rsidRPr="004A55CB" w:rsidRDefault="002863ED" w:rsidP="00AF7D52">
            <w:pPr>
              <w:jc w:val="both"/>
              <w:rPr>
                <w:rFonts w:cs="Arial"/>
                <w:noProof/>
                <w:sz w:val="20"/>
                <w:szCs w:val="20"/>
                <w:lang w:val="hu-HU"/>
              </w:rPr>
            </w:pPr>
            <w:r w:rsidRPr="004A55CB">
              <w:rPr>
                <w:rFonts w:cs="Arial"/>
                <w:noProof/>
                <w:sz w:val="20"/>
                <w:szCs w:val="20"/>
                <w:lang w:val="hu-HU"/>
              </w:rPr>
              <w:t>E rendelet alkalmazásában:</w:t>
            </w:r>
          </w:p>
          <w:p w14:paraId="66BB63AE" w14:textId="77777777" w:rsidR="002863ED" w:rsidRPr="004A55CB" w:rsidRDefault="002863ED" w:rsidP="00AF7D52">
            <w:pPr>
              <w:jc w:val="both"/>
              <w:rPr>
                <w:rFonts w:cs="Arial"/>
                <w:noProof/>
                <w:sz w:val="20"/>
                <w:szCs w:val="20"/>
                <w:lang w:val="hu-HU"/>
              </w:rPr>
            </w:pPr>
            <w:r w:rsidRPr="004A55CB">
              <w:rPr>
                <w:rFonts w:cs="Arial"/>
                <w:noProof/>
                <w:sz w:val="20"/>
                <w:szCs w:val="20"/>
                <w:lang w:val="hu-HU"/>
              </w:rPr>
              <w:t>1. „építési termék”: bármely olyan termék vagy készlet, amelyet azért állítottak elő és hoztak forgalomba, hogy építményekbe vagy építmények részeibe állandó jelleggel beépítsék, és amelynek teljesítménye befolyásolja az építménynek az építményekkel kapcsolatos alapvető követelmények tekintetében nyújtott teljesítményét.</w:t>
            </w:r>
          </w:p>
          <w:p w14:paraId="3DEC05B1" w14:textId="77777777" w:rsidR="002863ED" w:rsidRPr="004A55CB" w:rsidRDefault="002863ED" w:rsidP="00AF7D52">
            <w:pPr>
              <w:jc w:val="both"/>
              <w:rPr>
                <w:rFonts w:cs="Arial"/>
                <w:noProof/>
                <w:sz w:val="20"/>
                <w:szCs w:val="20"/>
                <w:lang w:val="hu-HU"/>
              </w:rPr>
            </w:pPr>
            <w:r w:rsidRPr="004A55CB">
              <w:rPr>
                <w:rFonts w:cs="Arial"/>
                <w:noProof/>
                <w:sz w:val="20"/>
                <w:szCs w:val="20"/>
                <w:lang w:val="hu-HU"/>
              </w:rPr>
              <w:t>Az építési termék építménybe történő betervezésének és beépítésének, ennek során a teljesítmény igazolásának részletes szabályairól szóló 275/2013. (VII. 16.) Korm. rendelet a fogalom-meghatározás során visszautal a 305/2011/EU RENDELET szabályaira. Ezen meghatározás alapján az Akzo Nobel Coatings Zrt. által forgalmazott termékek nem tartoznak a 305/2011/EU RENDELETE hatálya alá.</w:t>
            </w:r>
          </w:p>
          <w:p w14:paraId="6969A584" w14:textId="22A33E54" w:rsidR="002863ED" w:rsidRPr="004A55CB" w:rsidRDefault="002863ED" w:rsidP="00AF7D52">
            <w:pPr>
              <w:spacing w:before="120" w:after="120"/>
              <w:jc w:val="both"/>
              <w:rPr>
                <w:rFonts w:cs="Arial"/>
                <w:sz w:val="20"/>
                <w:szCs w:val="20"/>
                <w:lang w:val="hu-HU"/>
              </w:rPr>
            </w:pPr>
            <w:r w:rsidRPr="004A55CB">
              <w:rPr>
                <w:rFonts w:cs="Arial"/>
                <w:noProof/>
                <w:sz w:val="20"/>
                <w:szCs w:val="20"/>
                <w:lang w:val="hu-HU"/>
              </w:rPr>
              <w:t xml:space="preserve">Termékeink munkavédelmi és környezetvédelmi jellemzőit a termék </w:t>
            </w:r>
            <w:r w:rsidRPr="004A55CB">
              <w:rPr>
                <w:rFonts w:cs="Arial"/>
                <w:b/>
                <w:bCs/>
                <w:noProof/>
                <w:sz w:val="20"/>
                <w:szCs w:val="20"/>
                <w:lang w:val="hu-HU"/>
              </w:rPr>
              <w:t>Biztonsági adatlapja</w:t>
            </w:r>
            <w:r w:rsidRPr="004A55CB">
              <w:rPr>
                <w:rFonts w:cs="Arial"/>
                <w:noProof/>
                <w:sz w:val="20"/>
                <w:szCs w:val="20"/>
                <w:lang w:val="hu-HU"/>
              </w:rPr>
              <w:t xml:space="preserve"> tartalmazza, mely elérhető és letölthető a </w:t>
            </w:r>
            <w:hyperlink r:id="rId14" w:history="1">
              <w:r w:rsidRPr="004A55CB">
                <w:rPr>
                  <w:rStyle w:val="Hyperlink"/>
                  <w:rFonts w:cs="Arial"/>
                  <w:noProof/>
                  <w:sz w:val="20"/>
                  <w:szCs w:val="20"/>
                  <w:lang w:val="hu-HU"/>
                </w:rPr>
                <w:t>https://shop.akzonobel.hu/safety-documents</w:t>
              </w:r>
            </w:hyperlink>
            <w:r w:rsidRPr="004A55CB">
              <w:rPr>
                <w:rFonts w:cs="Arial"/>
                <w:noProof/>
                <w:sz w:val="20"/>
                <w:szCs w:val="20"/>
                <w:lang w:val="hu-HU"/>
              </w:rPr>
              <w:t xml:space="preserve"> honlapon, a felhasználási módjáról, műszaki paraméterekről pedig a termék </w:t>
            </w:r>
            <w:r w:rsidRPr="004A55CB">
              <w:rPr>
                <w:rFonts w:cs="Arial"/>
                <w:b/>
                <w:bCs/>
                <w:noProof/>
                <w:sz w:val="20"/>
                <w:szCs w:val="20"/>
                <w:lang w:val="hu-HU"/>
              </w:rPr>
              <w:t>címkéjén</w:t>
            </w:r>
            <w:r w:rsidRPr="004A55CB">
              <w:rPr>
                <w:rFonts w:cs="Arial"/>
                <w:noProof/>
                <w:sz w:val="20"/>
                <w:szCs w:val="20"/>
                <w:lang w:val="hu-HU"/>
              </w:rPr>
              <w:t xml:space="preserve"> vagy a </w:t>
            </w:r>
            <w:r w:rsidRPr="004A55CB">
              <w:rPr>
                <w:rFonts w:cs="Arial"/>
                <w:b/>
                <w:bCs/>
                <w:noProof/>
                <w:sz w:val="20"/>
                <w:szCs w:val="20"/>
                <w:lang w:val="hu-HU"/>
              </w:rPr>
              <w:t>Műszaki adatlapon</w:t>
            </w:r>
            <w:r w:rsidRPr="004A55CB">
              <w:rPr>
                <w:rFonts w:cs="Arial"/>
                <w:noProof/>
                <w:sz w:val="20"/>
                <w:szCs w:val="20"/>
                <w:lang w:val="hu-HU"/>
              </w:rPr>
              <w:t xml:space="preserve"> találhat információkat. (Nyilatkozat a mellékletben).</w:t>
            </w:r>
          </w:p>
        </w:tc>
      </w:tr>
      <w:tr w:rsidR="002863ED" w:rsidRPr="00F10D05" w14:paraId="507D766F" w14:textId="6B9AECFC" w:rsidTr="004A55CB">
        <w:tc>
          <w:tcPr>
            <w:tcW w:w="2689" w:type="dxa"/>
          </w:tcPr>
          <w:p w14:paraId="68C85FD9" w14:textId="76E47510" w:rsidR="002863ED" w:rsidRPr="00F10D05" w:rsidRDefault="002863ED" w:rsidP="00AF7D52">
            <w:pPr>
              <w:spacing w:before="120" w:after="120"/>
              <w:jc w:val="both"/>
              <w:rPr>
                <w:rFonts w:cs="Arial"/>
                <w:sz w:val="20"/>
                <w:szCs w:val="20"/>
                <w:lang w:val="hu-HU"/>
              </w:rPr>
            </w:pPr>
            <w:r w:rsidRPr="00F10D05">
              <w:rPr>
                <w:rFonts w:cs="Arial"/>
                <w:sz w:val="20"/>
                <w:szCs w:val="20"/>
                <w:lang w:val="hu-HU"/>
              </w:rPr>
              <w:t>Kapcsolat</w:t>
            </w:r>
          </w:p>
        </w:tc>
        <w:tc>
          <w:tcPr>
            <w:tcW w:w="6945" w:type="dxa"/>
          </w:tcPr>
          <w:p w14:paraId="356BD9E7" w14:textId="68AE0D7B" w:rsidR="002863ED" w:rsidRPr="00F10D05" w:rsidRDefault="002863ED" w:rsidP="00AF7D52">
            <w:pPr>
              <w:jc w:val="both"/>
              <w:rPr>
                <w:rFonts w:cs="Arial"/>
                <w:noProof/>
                <w:sz w:val="20"/>
                <w:szCs w:val="20"/>
                <w:lang w:val="hu-HU"/>
              </w:rPr>
            </w:pPr>
            <w:r w:rsidRPr="00F10D05">
              <w:rPr>
                <w:rFonts w:cs="Arial"/>
                <w:noProof/>
                <w:sz w:val="20"/>
                <w:szCs w:val="20"/>
                <w:lang w:val="hu-HU"/>
              </w:rPr>
              <w:t>Forgalmazó: AkzoNobel Coatings Zrt.</w:t>
            </w:r>
          </w:p>
          <w:p w14:paraId="05934CC3" w14:textId="020D71FE" w:rsidR="002863ED" w:rsidRPr="00F10D05" w:rsidRDefault="002863ED" w:rsidP="00AF7D52">
            <w:pPr>
              <w:jc w:val="both"/>
              <w:rPr>
                <w:rFonts w:cs="Arial"/>
                <w:noProof/>
                <w:sz w:val="20"/>
                <w:szCs w:val="20"/>
                <w:lang w:val="hu-HU"/>
              </w:rPr>
            </w:pPr>
            <w:r w:rsidRPr="00F10D05">
              <w:rPr>
                <w:rFonts w:cs="Arial"/>
                <w:noProof/>
                <w:sz w:val="20"/>
                <w:szCs w:val="20"/>
                <w:lang w:val="hu-HU"/>
              </w:rPr>
              <w:t>Cím: 1138 Budapest, Dunavirág utca 2-6. 1. ép. V. em</w:t>
            </w:r>
          </w:p>
          <w:p w14:paraId="6A120602" w14:textId="17215E5A" w:rsidR="002863ED" w:rsidRPr="00F10D05" w:rsidRDefault="002863ED" w:rsidP="00AF7D52">
            <w:pPr>
              <w:jc w:val="both"/>
              <w:rPr>
                <w:rFonts w:cs="Arial"/>
                <w:noProof/>
                <w:sz w:val="20"/>
                <w:szCs w:val="20"/>
                <w:lang w:val="hu-HU"/>
              </w:rPr>
            </w:pPr>
            <w:r w:rsidRPr="00F10D05">
              <w:rPr>
                <w:rFonts w:cs="Arial"/>
                <w:noProof/>
                <w:sz w:val="20"/>
                <w:szCs w:val="20"/>
                <w:lang w:val="hu-HU"/>
              </w:rPr>
              <w:t>Infovonal:</w:t>
            </w:r>
            <w:r w:rsidR="00392A27" w:rsidRPr="00F10D05">
              <w:rPr>
                <w:rFonts w:cs="Arial"/>
                <w:noProof/>
                <w:sz w:val="20"/>
                <w:szCs w:val="20"/>
                <w:lang w:val="hu-HU"/>
              </w:rPr>
              <w:t xml:space="preserve"> </w:t>
            </w:r>
            <w:r w:rsidRPr="00F10D05">
              <w:rPr>
                <w:rFonts w:cs="Arial"/>
                <w:noProof/>
                <w:sz w:val="20"/>
                <w:szCs w:val="20"/>
                <w:lang w:val="hu-HU"/>
              </w:rPr>
              <w:t>06 80 200 505</w:t>
            </w:r>
          </w:p>
        </w:tc>
      </w:tr>
      <w:tr w:rsidR="002863ED" w:rsidRPr="00F10D05" w14:paraId="24F1C629" w14:textId="77777777" w:rsidTr="004A55CB">
        <w:tc>
          <w:tcPr>
            <w:tcW w:w="2689" w:type="dxa"/>
          </w:tcPr>
          <w:p w14:paraId="783555E4" w14:textId="3D562EB0" w:rsidR="002863ED" w:rsidRPr="00F10D05" w:rsidRDefault="002863ED" w:rsidP="00AF7D52">
            <w:pPr>
              <w:spacing w:before="120" w:after="120"/>
              <w:jc w:val="both"/>
              <w:rPr>
                <w:rFonts w:cs="Arial"/>
                <w:sz w:val="20"/>
                <w:szCs w:val="20"/>
                <w:lang w:val="hu-HU"/>
              </w:rPr>
            </w:pPr>
            <w:r w:rsidRPr="00F10D05">
              <w:rPr>
                <w:rFonts w:cs="Arial"/>
                <w:sz w:val="20"/>
                <w:szCs w:val="20"/>
                <w:lang w:val="hu-HU"/>
              </w:rPr>
              <w:t>Frissítés dátuma:</w:t>
            </w:r>
          </w:p>
        </w:tc>
        <w:tc>
          <w:tcPr>
            <w:tcW w:w="6945" w:type="dxa"/>
          </w:tcPr>
          <w:p w14:paraId="312CF64D" w14:textId="52D06250" w:rsidR="002863ED" w:rsidRPr="00F10D05" w:rsidRDefault="002863ED" w:rsidP="00AF7D52">
            <w:pPr>
              <w:spacing w:before="120" w:after="120"/>
              <w:jc w:val="both"/>
              <w:rPr>
                <w:rFonts w:cs="Arial"/>
                <w:sz w:val="20"/>
                <w:szCs w:val="20"/>
                <w:lang w:val="hu-HU"/>
              </w:rPr>
            </w:pPr>
            <w:r w:rsidRPr="00F10D05">
              <w:rPr>
                <w:rFonts w:cs="Arial"/>
                <w:noProof/>
                <w:sz w:val="20"/>
                <w:szCs w:val="20"/>
                <w:lang w:val="hu-HU"/>
              </w:rPr>
              <w:t>2023.07.01.</w:t>
            </w:r>
          </w:p>
        </w:tc>
      </w:tr>
    </w:tbl>
    <w:p w14:paraId="658920DE" w14:textId="3748E9C5" w:rsidR="00F3303F" w:rsidRDefault="00AF7D52">
      <w:pPr>
        <w:rPr>
          <w:rFonts w:ascii="Arial" w:hAnsi="Arial" w:cs="Arial"/>
          <w:sz w:val="20"/>
          <w:szCs w:val="20"/>
        </w:rPr>
      </w:pPr>
      <w:r>
        <w:rPr>
          <w:rFonts w:ascii="Arial" w:hAnsi="Arial" w:cs="Arial"/>
          <w:sz w:val="20"/>
          <w:szCs w:val="20"/>
        </w:rPr>
        <w:br w:type="textWrapping" w:clear="all"/>
      </w:r>
    </w:p>
    <w:p w14:paraId="033CF127" w14:textId="77777777" w:rsidR="00F3303F" w:rsidRDefault="00F3303F">
      <w:pPr>
        <w:rPr>
          <w:rFonts w:ascii="Arial" w:hAnsi="Arial" w:cs="Arial"/>
          <w:sz w:val="20"/>
          <w:szCs w:val="20"/>
        </w:rPr>
      </w:pPr>
      <w:r>
        <w:rPr>
          <w:rFonts w:ascii="Arial" w:hAnsi="Arial" w:cs="Arial"/>
          <w:sz w:val="20"/>
          <w:szCs w:val="20"/>
        </w:rPr>
        <w:br w:type="page"/>
      </w:r>
    </w:p>
    <w:p w14:paraId="352A6A9D" w14:textId="77777777" w:rsidR="00875E42" w:rsidRPr="00F10D05" w:rsidRDefault="00875E42">
      <w:pPr>
        <w:rPr>
          <w:rFonts w:ascii="Arial" w:hAnsi="Arial" w:cs="Arial"/>
          <w:sz w:val="20"/>
          <w:szCs w:val="20"/>
        </w:rPr>
      </w:pPr>
    </w:p>
    <w:p w14:paraId="6574CBDF" w14:textId="77777777" w:rsidR="00875E42" w:rsidRPr="00F10D05" w:rsidRDefault="00875E42" w:rsidP="00875E42">
      <w:pPr>
        <w:rPr>
          <w:rFonts w:ascii="Arial" w:hAnsi="Arial" w:cs="Arial"/>
          <w:sz w:val="20"/>
          <w:szCs w:val="20"/>
        </w:rPr>
      </w:pPr>
      <w:r w:rsidRPr="00F10D05">
        <w:rPr>
          <w:rFonts w:ascii="Arial" w:hAnsi="Arial" w:cs="Arial"/>
          <w:sz w:val="20"/>
          <w:szCs w:val="20"/>
        </w:rPr>
        <w:t>Melléklet: Nyilatkozat</w:t>
      </w:r>
    </w:p>
    <w:p w14:paraId="4CBE2651" w14:textId="77777777" w:rsidR="00875E42" w:rsidRPr="00F10D05" w:rsidRDefault="00875E42" w:rsidP="00875E42">
      <w:pPr>
        <w:jc w:val="center"/>
        <w:rPr>
          <w:rFonts w:ascii="Arial" w:hAnsi="Arial" w:cs="Arial"/>
          <w:sz w:val="20"/>
          <w:szCs w:val="20"/>
        </w:rPr>
      </w:pPr>
      <w:r w:rsidRPr="00F10D05">
        <w:rPr>
          <w:rFonts w:ascii="Arial" w:hAnsi="Arial" w:cs="Arial"/>
          <w:sz w:val="20"/>
          <w:szCs w:val="20"/>
        </w:rPr>
        <w:t>NYILATKOZAT</w:t>
      </w:r>
    </w:p>
    <w:p w14:paraId="35D0D861" w14:textId="79539780" w:rsidR="00875E42" w:rsidRPr="00F10D05" w:rsidRDefault="00875E42" w:rsidP="00875E42">
      <w:pPr>
        <w:jc w:val="both"/>
        <w:rPr>
          <w:rFonts w:ascii="Arial" w:hAnsi="Arial" w:cs="Arial"/>
          <w:b/>
          <w:bCs/>
          <w:sz w:val="20"/>
          <w:szCs w:val="20"/>
        </w:rPr>
      </w:pPr>
      <w:r w:rsidRPr="00F10D05">
        <w:rPr>
          <w:rFonts w:ascii="Arial" w:hAnsi="Arial" w:cs="Arial"/>
          <w:sz w:val="20"/>
          <w:szCs w:val="20"/>
        </w:rPr>
        <w:t xml:space="preserve">1. A termék megnevezése: </w:t>
      </w:r>
      <w:r w:rsidR="00A756AC" w:rsidRPr="00F10D05">
        <w:rPr>
          <w:rFonts w:ascii="Arial" w:hAnsi="Arial" w:cs="Arial"/>
          <w:b/>
          <w:bCs/>
          <w:sz w:val="20"/>
          <w:szCs w:val="20"/>
        </w:rPr>
        <w:t xml:space="preserve">Sadolin </w:t>
      </w:r>
      <w:proofErr w:type="spellStart"/>
      <w:r w:rsidR="00A54501" w:rsidRPr="00F10D05">
        <w:rPr>
          <w:rFonts w:ascii="Arial" w:hAnsi="Arial" w:cs="Arial"/>
          <w:b/>
          <w:bCs/>
          <w:sz w:val="20"/>
          <w:szCs w:val="20"/>
        </w:rPr>
        <w:t>Ext</w:t>
      </w:r>
      <w:r w:rsidR="00C76B4E">
        <w:rPr>
          <w:rFonts w:ascii="Arial" w:hAnsi="Arial" w:cs="Arial"/>
          <w:b/>
          <w:bCs/>
          <w:sz w:val="20"/>
          <w:szCs w:val="20"/>
        </w:rPr>
        <w:t>reme</w:t>
      </w:r>
      <w:proofErr w:type="spellEnd"/>
    </w:p>
    <w:p w14:paraId="2809CABF"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 xml:space="preserve">2. A gyártás azonosító adatai: </w:t>
      </w:r>
      <w:r w:rsidRPr="00F10D05">
        <w:rPr>
          <w:rFonts w:ascii="Arial" w:hAnsi="Arial" w:cs="Arial"/>
          <w:b/>
          <w:bCs/>
          <w:iCs/>
          <w:sz w:val="20"/>
          <w:szCs w:val="20"/>
        </w:rPr>
        <w:t>A termék címkéjén jelölve.</w:t>
      </w:r>
    </w:p>
    <w:p w14:paraId="485F5F94" w14:textId="75EE4574" w:rsidR="00683771" w:rsidRPr="00F10D05" w:rsidRDefault="00875E42" w:rsidP="00A756AC">
      <w:pPr>
        <w:jc w:val="both"/>
        <w:rPr>
          <w:rFonts w:ascii="Arial" w:hAnsi="Arial" w:cs="Arial"/>
          <w:iCs/>
          <w:sz w:val="20"/>
          <w:szCs w:val="20"/>
        </w:rPr>
      </w:pPr>
      <w:r w:rsidRPr="00F10D05">
        <w:rPr>
          <w:rFonts w:ascii="Arial" w:hAnsi="Arial" w:cs="Arial"/>
          <w:sz w:val="20"/>
          <w:szCs w:val="20"/>
        </w:rPr>
        <w:t xml:space="preserve">3. A termék rendeltetése, felhasználási területei: </w:t>
      </w:r>
      <w:r w:rsidR="00C76B4E">
        <w:rPr>
          <w:rFonts w:ascii="Arial" w:hAnsi="Arial" w:cs="Arial"/>
          <w:sz w:val="20"/>
          <w:szCs w:val="20"/>
        </w:rPr>
        <w:t>Vizes bázisú</w:t>
      </w:r>
      <w:r w:rsidR="00683771" w:rsidRPr="00F10D05">
        <w:rPr>
          <w:rFonts w:ascii="Arial" w:hAnsi="Arial" w:cs="Arial"/>
          <w:sz w:val="20"/>
          <w:szCs w:val="20"/>
        </w:rPr>
        <w:t xml:space="preserve">, </w:t>
      </w:r>
      <w:r w:rsidR="00C76B4E">
        <w:rPr>
          <w:rFonts w:ascii="Arial" w:hAnsi="Arial" w:cs="Arial"/>
          <w:sz w:val="20"/>
          <w:szCs w:val="20"/>
        </w:rPr>
        <w:t xml:space="preserve">extra tartós lazúr. </w:t>
      </w:r>
      <w:r w:rsidR="00D73A8B" w:rsidRPr="00F10D05">
        <w:rPr>
          <w:rFonts w:ascii="Arial" w:hAnsi="Arial" w:cs="Arial"/>
          <w:sz w:val="20"/>
          <w:szCs w:val="20"/>
        </w:rPr>
        <w:t xml:space="preserve"> </w:t>
      </w:r>
    </w:p>
    <w:p w14:paraId="0405D6CB" w14:textId="197C15DC" w:rsidR="00875E42" w:rsidRPr="00F10D05" w:rsidRDefault="00875E42" w:rsidP="00A756AC">
      <w:pPr>
        <w:jc w:val="both"/>
        <w:rPr>
          <w:rFonts w:ascii="Arial" w:hAnsi="Arial" w:cs="Arial"/>
          <w:sz w:val="20"/>
          <w:szCs w:val="20"/>
        </w:rPr>
      </w:pPr>
      <w:r w:rsidRPr="00F10D05">
        <w:rPr>
          <w:rFonts w:ascii="Arial" w:hAnsi="Arial" w:cs="Arial"/>
          <w:iCs/>
          <w:sz w:val="20"/>
          <w:szCs w:val="20"/>
        </w:rPr>
        <w:t>4.</w:t>
      </w:r>
      <w:r w:rsidRPr="00F10D05">
        <w:rPr>
          <w:rFonts w:ascii="Arial" w:hAnsi="Arial" w:cs="Arial"/>
          <w:b/>
          <w:bCs/>
          <w:iCs/>
          <w:sz w:val="20"/>
          <w:szCs w:val="20"/>
        </w:rPr>
        <w:t xml:space="preserve"> </w:t>
      </w:r>
      <w:r w:rsidRPr="00F10D05">
        <w:rPr>
          <w:rFonts w:ascii="Arial" w:hAnsi="Arial" w:cs="Arial"/>
          <w:sz w:val="20"/>
          <w:szCs w:val="20"/>
        </w:rPr>
        <w:t>A forgalmazó neve, értesítési címe:</w:t>
      </w:r>
      <w:r w:rsidRPr="00F10D05">
        <w:rPr>
          <w:rFonts w:ascii="Arial" w:hAnsi="Arial" w:cs="Arial"/>
          <w:sz w:val="20"/>
          <w:szCs w:val="20"/>
        </w:rPr>
        <w:tab/>
      </w:r>
    </w:p>
    <w:p w14:paraId="6F0DCFBB" w14:textId="77777777" w:rsidR="00875E42" w:rsidRPr="00F10D05" w:rsidRDefault="00875E42" w:rsidP="00875E42">
      <w:pPr>
        <w:spacing w:after="0" w:line="240" w:lineRule="auto"/>
        <w:ind w:left="2880" w:firstLine="720"/>
        <w:rPr>
          <w:rFonts w:ascii="Arial" w:hAnsi="Arial" w:cs="Arial"/>
          <w:b/>
          <w:bCs/>
          <w:iCs/>
          <w:sz w:val="20"/>
          <w:szCs w:val="20"/>
        </w:rPr>
      </w:pPr>
      <w:r w:rsidRPr="00F10D05">
        <w:rPr>
          <w:rFonts w:ascii="Arial" w:hAnsi="Arial" w:cs="Arial"/>
          <w:b/>
          <w:bCs/>
          <w:iCs/>
          <w:sz w:val="20"/>
          <w:szCs w:val="20"/>
        </w:rPr>
        <w:t xml:space="preserve">Akzo Nobel </w:t>
      </w:r>
      <w:proofErr w:type="spellStart"/>
      <w:r w:rsidRPr="00F10D05">
        <w:rPr>
          <w:rFonts w:ascii="Arial" w:hAnsi="Arial" w:cs="Arial"/>
          <w:b/>
          <w:bCs/>
          <w:iCs/>
          <w:sz w:val="20"/>
          <w:szCs w:val="20"/>
        </w:rPr>
        <w:t>Coatings</w:t>
      </w:r>
      <w:proofErr w:type="spellEnd"/>
      <w:r w:rsidRPr="00F10D05">
        <w:rPr>
          <w:rFonts w:ascii="Arial" w:hAnsi="Arial" w:cs="Arial"/>
          <w:b/>
          <w:bCs/>
          <w:iCs/>
          <w:sz w:val="20"/>
          <w:szCs w:val="20"/>
        </w:rPr>
        <w:t xml:space="preserve"> Zrt.</w:t>
      </w:r>
    </w:p>
    <w:p w14:paraId="7FE73CA7"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1138 Budapest, Dunavirág utca 2-6. 1. ép. V. em.</w:t>
      </w:r>
    </w:p>
    <w:p w14:paraId="650EDF75"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Tel: 06 80 200-505</w:t>
      </w:r>
    </w:p>
    <w:p w14:paraId="069F7109" w14:textId="77777777" w:rsidR="00875E42" w:rsidRPr="00F10D05" w:rsidRDefault="00875E42" w:rsidP="00875E42">
      <w:pPr>
        <w:spacing w:after="0" w:line="240" w:lineRule="auto"/>
        <w:ind w:left="2880" w:firstLine="720"/>
        <w:jc w:val="both"/>
        <w:rPr>
          <w:rFonts w:ascii="Arial" w:hAnsi="Arial" w:cs="Arial"/>
          <w:b/>
          <w:bCs/>
          <w:iCs/>
          <w:sz w:val="20"/>
          <w:szCs w:val="20"/>
        </w:rPr>
      </w:pPr>
    </w:p>
    <w:p w14:paraId="2DC01E78"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5. A forgalmazó képviselőjének neve és értesítési címe, akihez bővebb felvilágosításért fordulhat:</w:t>
      </w:r>
    </w:p>
    <w:p w14:paraId="3E5D9DE9"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Bernáth Roland</w:t>
      </w:r>
    </w:p>
    <w:p w14:paraId="287FD5F4" w14:textId="77777777" w:rsidR="00875E42" w:rsidRPr="00F10D05" w:rsidRDefault="00875E42" w:rsidP="00875E42">
      <w:pPr>
        <w:spacing w:after="0" w:line="240" w:lineRule="auto"/>
        <w:ind w:left="2880" w:firstLine="720"/>
        <w:jc w:val="both"/>
        <w:rPr>
          <w:rFonts w:ascii="Arial" w:hAnsi="Arial" w:cs="Arial"/>
          <w:iCs/>
          <w:sz w:val="20"/>
          <w:szCs w:val="20"/>
        </w:rPr>
      </w:pPr>
      <w:r w:rsidRPr="00F10D05">
        <w:rPr>
          <w:rFonts w:ascii="Arial" w:hAnsi="Arial" w:cs="Arial"/>
          <w:iCs/>
          <w:sz w:val="20"/>
          <w:szCs w:val="20"/>
        </w:rPr>
        <w:t>Alkalmazástechnikus</w:t>
      </w:r>
    </w:p>
    <w:p w14:paraId="4B3FB11B"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06 30 968-0704</w:t>
      </w:r>
    </w:p>
    <w:p w14:paraId="657A2CE0" w14:textId="77777777" w:rsidR="00875E42" w:rsidRPr="00F10D05" w:rsidRDefault="00875E42" w:rsidP="00875E42">
      <w:pPr>
        <w:spacing w:after="100" w:afterAutospacing="1" w:line="240" w:lineRule="auto"/>
        <w:ind w:left="2880" w:firstLine="720"/>
        <w:jc w:val="both"/>
        <w:rPr>
          <w:rFonts w:ascii="Arial" w:hAnsi="Arial" w:cs="Arial"/>
          <w:b/>
          <w:bCs/>
          <w:iCs/>
          <w:sz w:val="20"/>
          <w:szCs w:val="20"/>
        </w:rPr>
      </w:pPr>
      <w:r w:rsidRPr="00F10D05">
        <w:rPr>
          <w:rFonts w:ascii="Arial" w:hAnsi="Arial" w:cs="Arial"/>
          <w:b/>
          <w:bCs/>
          <w:iCs/>
          <w:sz w:val="20"/>
          <w:szCs w:val="20"/>
        </w:rPr>
        <w:t>roland.bernath@akzonobel.com</w:t>
      </w:r>
    </w:p>
    <w:p w14:paraId="1B1885F0"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6. A Forgalmazó a termék műszaki adatait, felhasználási javaslatokat és iránymutatásokat a termék címkéjén és MŰSZAKI ADATLAPJÁN, valamint a 2015/830 EU rendelet szerint készült és a shop.akzonobel.hu honlapon közzétett BIZTONSÁGI ADATLAPON teszi közzé, ezen közzétett műszaki jellemzőkkel és műszaki adatokkal rendelkezik a forgalomba hozott termék.</w:t>
      </w:r>
    </w:p>
    <w:p w14:paraId="234A14D9" w14:textId="77777777" w:rsidR="00F2581F" w:rsidRPr="00F10D05" w:rsidRDefault="00F2581F" w:rsidP="00875E42">
      <w:pPr>
        <w:jc w:val="both"/>
        <w:rPr>
          <w:rFonts w:ascii="Arial" w:hAnsi="Arial" w:cs="Arial"/>
          <w:b/>
          <w:bCs/>
          <w:sz w:val="20"/>
          <w:szCs w:val="20"/>
        </w:rPr>
      </w:pPr>
    </w:p>
    <w:p w14:paraId="04112560" w14:textId="77777777" w:rsidR="00F2581F" w:rsidRPr="00F10D05" w:rsidRDefault="00F2581F" w:rsidP="00875E42">
      <w:pPr>
        <w:jc w:val="both"/>
        <w:rPr>
          <w:rFonts w:ascii="Arial" w:hAnsi="Arial" w:cs="Arial"/>
          <w:b/>
          <w:bCs/>
          <w:sz w:val="20"/>
          <w:szCs w:val="20"/>
        </w:rPr>
      </w:pPr>
    </w:p>
    <w:p w14:paraId="16D705A2" w14:textId="6C0E84FF" w:rsidR="00875E42" w:rsidRPr="00F10D05" w:rsidRDefault="00875E42" w:rsidP="00875E42">
      <w:pPr>
        <w:jc w:val="both"/>
        <w:rPr>
          <w:rFonts w:ascii="Arial" w:hAnsi="Arial" w:cs="Arial"/>
          <w:b/>
          <w:bCs/>
          <w:sz w:val="20"/>
          <w:szCs w:val="20"/>
        </w:rPr>
      </w:pPr>
      <w:r w:rsidRPr="00F10D05">
        <w:rPr>
          <w:rFonts w:ascii="Arial" w:hAnsi="Arial" w:cs="Arial"/>
          <w:b/>
          <w:bCs/>
          <w:sz w:val="20"/>
          <w:szCs w:val="20"/>
        </w:rPr>
        <w:t xml:space="preserve">Budapest, 2023.  </w:t>
      </w:r>
      <w:r w:rsidR="00A756AC" w:rsidRPr="00F10D05">
        <w:rPr>
          <w:rFonts w:ascii="Arial" w:hAnsi="Arial" w:cs="Arial"/>
          <w:b/>
          <w:bCs/>
          <w:sz w:val="20"/>
          <w:szCs w:val="20"/>
        </w:rPr>
        <w:t>július 1</w:t>
      </w:r>
      <w:r w:rsidRPr="00F10D05">
        <w:rPr>
          <w:rFonts w:ascii="Arial" w:hAnsi="Arial" w:cs="Arial"/>
          <w:b/>
          <w:bCs/>
          <w:sz w:val="20"/>
          <w:szCs w:val="20"/>
        </w:rPr>
        <w:t>.</w:t>
      </w:r>
    </w:p>
    <w:p w14:paraId="51FFC93B"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 xml:space="preserve">AkzoNobel </w:t>
      </w:r>
      <w:proofErr w:type="spellStart"/>
      <w:r w:rsidRPr="00F10D05">
        <w:rPr>
          <w:rFonts w:ascii="Arial" w:hAnsi="Arial" w:cs="Arial"/>
          <w:sz w:val="20"/>
          <w:szCs w:val="20"/>
        </w:rPr>
        <w:t>Coatings</w:t>
      </w:r>
      <w:proofErr w:type="spellEnd"/>
      <w:r w:rsidRPr="00F10D05">
        <w:rPr>
          <w:rFonts w:ascii="Arial" w:hAnsi="Arial" w:cs="Arial"/>
          <w:sz w:val="20"/>
          <w:szCs w:val="20"/>
        </w:rPr>
        <w:t xml:space="preserve"> Zrt. képviseletében: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493"/>
      </w:tblGrid>
      <w:tr w:rsidR="00875E42" w:rsidRPr="00F10D05" w14:paraId="70E90E90" w14:textId="77777777" w:rsidTr="007F3C9C">
        <w:tc>
          <w:tcPr>
            <w:tcW w:w="5381" w:type="dxa"/>
            <w:vAlign w:val="bottom"/>
          </w:tcPr>
          <w:p w14:paraId="5CD7AACF" w14:textId="77777777" w:rsidR="00875E42" w:rsidRPr="00F10D05" w:rsidRDefault="00875E42" w:rsidP="007F3C9C">
            <w:pPr>
              <w:jc w:val="center"/>
              <w:rPr>
                <w:rFonts w:cs="Arial"/>
                <w:sz w:val="20"/>
                <w:szCs w:val="20"/>
                <w:lang w:val="hu-HU"/>
              </w:rPr>
            </w:pPr>
            <w:r w:rsidRPr="00F10D05">
              <w:rPr>
                <w:rFonts w:cs="Arial"/>
                <w:noProof/>
                <w:sz w:val="20"/>
                <w:szCs w:val="20"/>
              </w:rPr>
              <w:drawing>
                <wp:inline distT="0" distB="0" distL="0" distR="0" wp14:anchorId="22F0F6C0" wp14:editId="1136F307">
                  <wp:extent cx="987425" cy="554990"/>
                  <wp:effectExtent l="0" t="0" r="3175" b="0"/>
                  <wp:docPr id="20" name="Kép 20" descr="A képen kézírás, kalligráfia,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ép 20" descr="A képen kézírás, kalligráfia, Betűtípus látható&#10;&#10;Automatikusan generált leírá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7425" cy="554990"/>
                          </a:xfrm>
                          <a:prstGeom prst="rect">
                            <a:avLst/>
                          </a:prstGeom>
                          <a:noFill/>
                        </pic:spPr>
                      </pic:pic>
                    </a:graphicData>
                  </a:graphic>
                </wp:inline>
              </w:drawing>
            </w:r>
          </w:p>
        </w:tc>
        <w:tc>
          <w:tcPr>
            <w:tcW w:w="5381" w:type="dxa"/>
            <w:vAlign w:val="bottom"/>
          </w:tcPr>
          <w:p w14:paraId="58C0A0E3" w14:textId="77777777" w:rsidR="00875E42" w:rsidRPr="00F10D05" w:rsidRDefault="00875E42" w:rsidP="007F3C9C">
            <w:pPr>
              <w:jc w:val="center"/>
              <w:rPr>
                <w:rFonts w:cs="Arial"/>
                <w:sz w:val="20"/>
                <w:szCs w:val="20"/>
                <w:lang w:val="hu-HU"/>
              </w:rPr>
            </w:pPr>
            <w:r w:rsidRPr="00F10D05">
              <w:rPr>
                <w:rFonts w:cs="Arial"/>
                <w:noProof/>
                <w:sz w:val="20"/>
                <w:szCs w:val="20"/>
              </w:rPr>
              <w:drawing>
                <wp:anchor distT="0" distB="0" distL="114300" distR="114300" simplePos="0" relativeHeight="251658242" behindDoc="1" locked="0" layoutInCell="1" allowOverlap="1" wp14:anchorId="04160DC4" wp14:editId="5D1AD0D9">
                  <wp:simplePos x="0" y="0"/>
                  <wp:positionH relativeFrom="column">
                    <wp:posOffset>1301750</wp:posOffset>
                  </wp:positionH>
                  <wp:positionV relativeFrom="paragraph">
                    <wp:posOffset>346710</wp:posOffset>
                  </wp:positionV>
                  <wp:extent cx="733425" cy="297815"/>
                  <wp:effectExtent l="0" t="0" r="9525" b="6985"/>
                  <wp:wrapThrough wrapText="bothSides">
                    <wp:wrapPolygon edited="0">
                      <wp:start x="0" y="0"/>
                      <wp:lineTo x="0" y="20725"/>
                      <wp:lineTo x="21319" y="20725"/>
                      <wp:lineTo x="21319" y="0"/>
                      <wp:lineTo x="0" y="0"/>
                    </wp:wrapPolygon>
                  </wp:wrapThrough>
                  <wp:docPr id="14" name="Kép 14" descr="A képen kézírás, kalligráfia, Betűtípus, kézzel írot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0" descr="A képen kézírás, kalligráfia, Betűtípus, kézzel írott látható&#10;&#10;Automatikusan generált leírá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297815"/>
                          </a:xfrm>
                          <a:prstGeom prst="rect">
                            <a:avLst/>
                          </a:prstGeom>
                        </pic:spPr>
                      </pic:pic>
                    </a:graphicData>
                  </a:graphic>
                  <wp14:sizeRelH relativeFrom="margin">
                    <wp14:pctWidth>0</wp14:pctWidth>
                  </wp14:sizeRelH>
                  <wp14:sizeRelV relativeFrom="margin">
                    <wp14:pctHeight>0</wp14:pctHeight>
                  </wp14:sizeRelV>
                </wp:anchor>
              </w:drawing>
            </w:r>
          </w:p>
        </w:tc>
      </w:tr>
      <w:tr w:rsidR="00875E42" w:rsidRPr="00F10D05" w14:paraId="08CFB21F" w14:textId="77777777" w:rsidTr="007F3C9C">
        <w:tc>
          <w:tcPr>
            <w:tcW w:w="5381" w:type="dxa"/>
          </w:tcPr>
          <w:p w14:paraId="37E08BF2" w14:textId="77777777" w:rsidR="00875E42" w:rsidRPr="00F10D05" w:rsidRDefault="00875E42" w:rsidP="007F3C9C">
            <w:pPr>
              <w:jc w:val="center"/>
              <w:rPr>
                <w:rFonts w:cs="Arial"/>
                <w:sz w:val="20"/>
                <w:szCs w:val="20"/>
                <w:lang w:val="hu-HU"/>
              </w:rPr>
            </w:pPr>
            <w:r w:rsidRPr="00F10D05">
              <w:rPr>
                <w:rFonts w:cs="Arial"/>
                <w:sz w:val="20"/>
                <w:szCs w:val="20"/>
                <w:lang w:val="hu-HU"/>
              </w:rPr>
              <w:t>Szűcs Gergely</w:t>
            </w:r>
          </w:p>
          <w:p w14:paraId="3C659077" w14:textId="77777777" w:rsidR="00875E42" w:rsidRPr="00F10D05" w:rsidRDefault="00875E42" w:rsidP="007F3C9C">
            <w:pPr>
              <w:jc w:val="center"/>
              <w:rPr>
                <w:rFonts w:cs="Arial"/>
                <w:sz w:val="20"/>
                <w:szCs w:val="20"/>
                <w:lang w:val="hu-HU"/>
              </w:rPr>
            </w:pPr>
            <w:r w:rsidRPr="00F10D05">
              <w:rPr>
                <w:rFonts w:cs="Arial"/>
                <w:sz w:val="20"/>
                <w:szCs w:val="20"/>
                <w:lang w:val="hu-HU"/>
              </w:rPr>
              <w:t>vezérigazgató</w:t>
            </w:r>
          </w:p>
        </w:tc>
        <w:tc>
          <w:tcPr>
            <w:tcW w:w="5381" w:type="dxa"/>
          </w:tcPr>
          <w:p w14:paraId="1F63FEFF" w14:textId="77777777" w:rsidR="00875E42" w:rsidRPr="00F10D05" w:rsidRDefault="00875E42" w:rsidP="007F3C9C">
            <w:pPr>
              <w:jc w:val="center"/>
              <w:rPr>
                <w:rFonts w:cs="Arial"/>
                <w:sz w:val="20"/>
                <w:szCs w:val="20"/>
                <w:lang w:val="hu-HU"/>
              </w:rPr>
            </w:pPr>
            <w:r w:rsidRPr="00F10D05">
              <w:rPr>
                <w:rFonts w:cs="Arial"/>
                <w:sz w:val="20"/>
                <w:szCs w:val="20"/>
                <w:lang w:val="hu-HU"/>
              </w:rPr>
              <w:t>Szücs Anikó</w:t>
            </w:r>
          </w:p>
          <w:p w14:paraId="5A3A4757" w14:textId="77777777" w:rsidR="00875E42" w:rsidRPr="00F10D05" w:rsidRDefault="00875E42" w:rsidP="007F3C9C">
            <w:pPr>
              <w:jc w:val="center"/>
              <w:rPr>
                <w:rFonts w:cs="Arial"/>
                <w:sz w:val="20"/>
                <w:szCs w:val="20"/>
                <w:lang w:val="hu-HU"/>
              </w:rPr>
            </w:pPr>
            <w:proofErr w:type="spellStart"/>
            <w:r w:rsidRPr="00F10D05">
              <w:rPr>
                <w:rFonts w:cs="Arial"/>
                <w:sz w:val="20"/>
                <w:szCs w:val="20"/>
                <w:lang w:val="hu-HU"/>
              </w:rPr>
              <w:t>specialty</w:t>
            </w:r>
            <w:proofErr w:type="spellEnd"/>
            <w:r w:rsidRPr="00F10D05">
              <w:rPr>
                <w:rFonts w:cs="Arial"/>
                <w:sz w:val="20"/>
                <w:szCs w:val="20"/>
                <w:lang w:val="hu-HU"/>
              </w:rPr>
              <w:t xml:space="preserve"> </w:t>
            </w:r>
            <w:proofErr w:type="spellStart"/>
            <w:r w:rsidRPr="00F10D05">
              <w:rPr>
                <w:rFonts w:cs="Arial"/>
                <w:sz w:val="20"/>
                <w:szCs w:val="20"/>
                <w:lang w:val="hu-HU"/>
              </w:rPr>
              <w:t>category</w:t>
            </w:r>
            <w:proofErr w:type="spellEnd"/>
            <w:r w:rsidRPr="00F10D05">
              <w:rPr>
                <w:rFonts w:cs="Arial"/>
                <w:sz w:val="20"/>
                <w:szCs w:val="20"/>
                <w:lang w:val="hu-HU"/>
              </w:rPr>
              <w:t xml:space="preserve"> </w:t>
            </w:r>
            <w:proofErr w:type="spellStart"/>
            <w:r w:rsidRPr="00F10D05">
              <w:rPr>
                <w:rFonts w:cs="Arial"/>
                <w:sz w:val="20"/>
                <w:szCs w:val="20"/>
                <w:lang w:val="hu-HU"/>
              </w:rPr>
              <w:t>manager</w:t>
            </w:r>
            <w:proofErr w:type="spellEnd"/>
          </w:p>
        </w:tc>
      </w:tr>
    </w:tbl>
    <w:p w14:paraId="6AAC0CD2" w14:textId="77777777" w:rsidR="00875E42" w:rsidRPr="00F10D05" w:rsidRDefault="00875E42" w:rsidP="00E51E88">
      <w:pPr>
        <w:jc w:val="both"/>
        <w:rPr>
          <w:rFonts w:ascii="Arial" w:hAnsi="Arial" w:cs="Arial"/>
          <w:sz w:val="20"/>
          <w:szCs w:val="20"/>
        </w:rPr>
      </w:pPr>
    </w:p>
    <w:p w14:paraId="7A715FBD" w14:textId="77777777" w:rsidR="00A756AC" w:rsidRPr="00F10D05" w:rsidRDefault="00A756AC" w:rsidP="00E51E88">
      <w:pPr>
        <w:jc w:val="both"/>
        <w:rPr>
          <w:rFonts w:ascii="Arial" w:hAnsi="Arial" w:cs="Arial"/>
          <w:sz w:val="20"/>
          <w:szCs w:val="20"/>
        </w:rPr>
      </w:pPr>
    </w:p>
    <w:sectPr w:rsidR="00A756AC" w:rsidRPr="00F10D0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80DF" w14:textId="77777777" w:rsidR="00DA5342" w:rsidRDefault="00DA5342" w:rsidP="008203D9">
      <w:pPr>
        <w:spacing w:after="0" w:line="240" w:lineRule="auto"/>
      </w:pPr>
      <w:r>
        <w:separator/>
      </w:r>
    </w:p>
  </w:endnote>
  <w:endnote w:type="continuationSeparator" w:id="0">
    <w:p w14:paraId="61AF707E" w14:textId="77777777" w:rsidR="00DA5342" w:rsidRDefault="00DA5342" w:rsidP="008203D9">
      <w:pPr>
        <w:spacing w:after="0" w:line="240" w:lineRule="auto"/>
      </w:pPr>
      <w:r>
        <w:continuationSeparator/>
      </w:r>
    </w:p>
  </w:endnote>
  <w:endnote w:type="continuationNotice" w:id="1">
    <w:p w14:paraId="78B04018" w14:textId="77777777" w:rsidR="00DA5342" w:rsidRDefault="00DA5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masis MT Pro">
    <w:altName w:val="Cambria"/>
    <w:charset w:val="EE"/>
    <w:family w:val="roman"/>
    <w:pitch w:val="variable"/>
    <w:sig w:usb0="A00000A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C527" w14:textId="77777777" w:rsidR="0063662C" w:rsidRDefault="00636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745F" w14:textId="77777777" w:rsidR="004B4ED4" w:rsidRDefault="004B4ED4" w:rsidP="004B4ED4">
    <w:pPr>
      <w:pStyle w:val="Footer"/>
      <w:tabs>
        <w:tab w:val="clear" w:pos="4536"/>
        <w:tab w:val="clear" w:pos="9072"/>
        <w:tab w:val="left" w:pos="1155"/>
      </w:tabs>
    </w:pPr>
    <w:r>
      <w:tab/>
    </w: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13" w:type="dxa"/>
        <w:bottom w:w="113" w:type="dxa"/>
      </w:tblCellMar>
      <w:tblLook w:val="04A0" w:firstRow="1" w:lastRow="0" w:firstColumn="1" w:lastColumn="0" w:noHBand="0" w:noVBand="1"/>
    </w:tblPr>
    <w:tblGrid>
      <w:gridCol w:w="2310"/>
      <w:gridCol w:w="7472"/>
    </w:tblGrid>
    <w:tr w:rsidR="004B4ED4" w:rsidRPr="00373E93" w14:paraId="435A02CE" w14:textId="77777777" w:rsidTr="00113989">
      <w:trPr>
        <w:trHeight w:val="469"/>
      </w:trPr>
      <w:tc>
        <w:tcPr>
          <w:tcW w:w="2310" w:type="dxa"/>
          <w:shd w:val="clear" w:color="auto" w:fill="FFC000"/>
          <w:vAlign w:val="center"/>
        </w:tcPr>
        <w:p w14:paraId="27DE3BA0" w14:textId="77777777" w:rsidR="004B4ED4" w:rsidRPr="00373E93" w:rsidRDefault="004B4ED4" w:rsidP="004B4ED4">
          <w:pPr>
            <w:pStyle w:val="Footer"/>
            <w:tabs>
              <w:tab w:val="clear" w:pos="4536"/>
              <w:tab w:val="clear" w:pos="9072"/>
              <w:tab w:val="left" w:pos="1496"/>
            </w:tabs>
            <w:jc w:val="center"/>
            <w:rPr>
              <w:color w:val="FFFFFF" w:themeColor="background1"/>
              <w:sz w:val="16"/>
              <w:szCs w:val="16"/>
            </w:rPr>
          </w:pPr>
          <w:r w:rsidRPr="009B4850">
            <w:rPr>
              <w:noProof/>
              <w:color w:val="FFFFFF" w:themeColor="background1"/>
              <w:sz w:val="16"/>
              <w:szCs w:val="16"/>
            </w:rPr>
            <w:drawing>
              <wp:inline distT="0" distB="0" distL="0" distR="0" wp14:anchorId="6F2A7572" wp14:editId="4AE883BC">
                <wp:extent cx="1123950" cy="165175"/>
                <wp:effectExtent l="0" t="0" r="0" b="6350"/>
                <wp:docPr id="4" name="Kép 4" descr="A képen Betűtípus, Grafika, embléma, Grafikus tervezés látható&#10;&#10;Automatikusan generált leírás">
                  <a:extLst xmlns:a="http://schemas.openxmlformats.org/drawingml/2006/main">
                    <a:ext uri="{FF2B5EF4-FFF2-40B4-BE49-F238E27FC236}">
                      <a16:creationId xmlns:a16="http://schemas.microsoft.com/office/drawing/2014/main" id="{982924C7-A34E-4CD0-A6AF-E5FFB5BE0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Betűtípus, Grafika, embléma, Grafikus tervezés látható&#10;&#10;Automatikusan generált leírás">
                          <a:extLst>
                            <a:ext uri="{FF2B5EF4-FFF2-40B4-BE49-F238E27FC236}">
                              <a16:creationId xmlns:a16="http://schemas.microsoft.com/office/drawing/2014/main" id="{982924C7-A34E-4CD0-A6AF-E5FFB5BE04B8}"/>
                            </a:ext>
                          </a:extLst>
                        </pic:cNvPr>
                        <pic:cNvPicPr>
                          <a:picLocks noChangeAspect="1"/>
                        </pic:cNvPicPr>
                      </pic:nvPicPr>
                      <pic:blipFill>
                        <a:blip r:embed="rId1"/>
                        <a:stretch>
                          <a:fillRect/>
                        </a:stretch>
                      </pic:blipFill>
                      <pic:spPr>
                        <a:xfrm>
                          <a:off x="0" y="0"/>
                          <a:ext cx="1183102" cy="173868"/>
                        </a:xfrm>
                        <a:prstGeom prst="rect">
                          <a:avLst/>
                        </a:prstGeom>
                      </pic:spPr>
                    </pic:pic>
                  </a:graphicData>
                </a:graphic>
              </wp:inline>
            </w:drawing>
          </w:r>
        </w:p>
      </w:tc>
      <w:tc>
        <w:tcPr>
          <w:tcW w:w="7472" w:type="dxa"/>
          <w:shd w:val="clear" w:color="auto" w:fill="FFC000"/>
          <w:vAlign w:val="center"/>
        </w:tcPr>
        <w:p w14:paraId="13A23E2C" w14:textId="77777777" w:rsidR="004B4ED4" w:rsidRPr="009B4850" w:rsidRDefault="004B4ED4" w:rsidP="004B4ED4">
          <w:pPr>
            <w:pStyle w:val="Footer"/>
            <w:tabs>
              <w:tab w:val="clear" w:pos="4536"/>
              <w:tab w:val="clear" w:pos="9072"/>
              <w:tab w:val="left" w:pos="1496"/>
            </w:tabs>
            <w:jc w:val="center"/>
            <w:rPr>
              <w:rFonts w:ascii="Arial Narrow" w:hAnsi="Arial Narrow"/>
              <w:color w:val="FFFFFF" w:themeColor="background1"/>
              <w:sz w:val="20"/>
              <w:szCs w:val="20"/>
            </w:rPr>
          </w:pPr>
          <w:r w:rsidRPr="009B4850">
            <w:rPr>
              <w:rFonts w:ascii="Arial Narrow" w:hAnsi="Arial Narrow"/>
              <w:color w:val="FFFFFF" w:themeColor="background1"/>
              <w:sz w:val="20"/>
              <w:szCs w:val="20"/>
            </w:rPr>
            <w:t xml:space="preserve">AkzoNobel Coatings </w:t>
          </w:r>
          <w:proofErr w:type="spellStart"/>
          <w:r w:rsidRPr="009B4850">
            <w:rPr>
              <w:rFonts w:ascii="Arial Narrow" w:hAnsi="Arial Narrow"/>
              <w:color w:val="FFFFFF" w:themeColor="background1"/>
              <w:sz w:val="20"/>
              <w:szCs w:val="20"/>
            </w:rPr>
            <w:t>Zrt</w:t>
          </w:r>
          <w:proofErr w:type="spellEnd"/>
          <w:r w:rsidRPr="009B4850">
            <w:rPr>
              <w:rFonts w:ascii="Arial Narrow" w:hAnsi="Arial Narrow"/>
              <w:color w:val="FFFFFF" w:themeColor="background1"/>
              <w:sz w:val="20"/>
              <w:szCs w:val="20"/>
            </w:rPr>
            <w:t xml:space="preserve">. </w:t>
          </w:r>
          <w:r w:rsidRPr="003C4AEC">
            <w:rPr>
              <w:rFonts w:ascii="Arial Narrow" w:hAnsi="Arial Narrow"/>
              <w:color w:val="FFFFFF" w:themeColor="background1"/>
              <w:sz w:val="20"/>
              <w:szCs w:val="20"/>
            </w:rPr>
            <w:t xml:space="preserve">1138 Budapest, </w:t>
          </w:r>
          <w:proofErr w:type="spellStart"/>
          <w:r w:rsidRPr="003C4AEC">
            <w:rPr>
              <w:rFonts w:ascii="Arial Narrow" w:hAnsi="Arial Narrow"/>
              <w:color w:val="FFFFFF" w:themeColor="background1"/>
              <w:sz w:val="20"/>
              <w:szCs w:val="20"/>
            </w:rPr>
            <w:t>Dunavirág</w:t>
          </w:r>
          <w:proofErr w:type="spellEnd"/>
          <w:r w:rsidRPr="003C4AEC">
            <w:rPr>
              <w:rFonts w:ascii="Arial Narrow" w:hAnsi="Arial Narrow"/>
              <w:color w:val="FFFFFF" w:themeColor="background1"/>
              <w:sz w:val="20"/>
              <w:szCs w:val="20"/>
            </w:rPr>
            <w:t xml:space="preserve"> </w:t>
          </w:r>
          <w:proofErr w:type="spellStart"/>
          <w:r w:rsidRPr="003C4AEC">
            <w:rPr>
              <w:rFonts w:ascii="Arial Narrow" w:hAnsi="Arial Narrow"/>
              <w:color w:val="FFFFFF" w:themeColor="background1"/>
              <w:sz w:val="20"/>
              <w:szCs w:val="20"/>
            </w:rPr>
            <w:t>utca</w:t>
          </w:r>
          <w:proofErr w:type="spellEnd"/>
          <w:r w:rsidRPr="003C4AEC">
            <w:rPr>
              <w:rFonts w:ascii="Arial Narrow" w:hAnsi="Arial Narrow"/>
              <w:color w:val="FFFFFF" w:themeColor="background1"/>
              <w:sz w:val="20"/>
              <w:szCs w:val="20"/>
            </w:rPr>
            <w:t xml:space="preserve"> 2-6. 1. </w:t>
          </w:r>
          <w:proofErr w:type="spellStart"/>
          <w:r w:rsidRPr="003C4AEC">
            <w:rPr>
              <w:rFonts w:ascii="Arial Narrow" w:hAnsi="Arial Narrow"/>
              <w:color w:val="FFFFFF" w:themeColor="background1"/>
              <w:sz w:val="20"/>
              <w:szCs w:val="20"/>
            </w:rPr>
            <w:t>ép</w:t>
          </w:r>
          <w:proofErr w:type="spellEnd"/>
          <w:r w:rsidRPr="003C4AEC">
            <w:rPr>
              <w:rFonts w:ascii="Arial Narrow" w:hAnsi="Arial Narrow"/>
              <w:color w:val="FFFFFF" w:themeColor="background1"/>
              <w:sz w:val="20"/>
              <w:szCs w:val="20"/>
            </w:rPr>
            <w:t xml:space="preserve">. </w:t>
          </w:r>
          <w:r>
            <w:rPr>
              <w:rFonts w:ascii="Arial Narrow" w:hAnsi="Arial Narrow"/>
              <w:color w:val="FFFFFF" w:themeColor="background1"/>
              <w:sz w:val="20"/>
              <w:szCs w:val="20"/>
            </w:rPr>
            <w:t>V</w:t>
          </w:r>
          <w:r w:rsidRPr="003C4AEC">
            <w:rPr>
              <w:rFonts w:ascii="Arial Narrow" w:hAnsi="Arial Narrow"/>
              <w:color w:val="FFFFFF" w:themeColor="background1"/>
              <w:sz w:val="20"/>
              <w:szCs w:val="20"/>
            </w:rPr>
            <w:t xml:space="preserve">. </w:t>
          </w:r>
          <w:proofErr w:type="spellStart"/>
          <w:r w:rsidRPr="003C4AEC">
            <w:rPr>
              <w:rFonts w:ascii="Arial Narrow" w:hAnsi="Arial Narrow"/>
              <w:color w:val="FFFFFF" w:themeColor="background1"/>
              <w:sz w:val="20"/>
              <w:szCs w:val="20"/>
            </w:rPr>
            <w:t>em</w:t>
          </w:r>
          <w:proofErr w:type="spellEnd"/>
          <w:r w:rsidRPr="003C4AEC">
            <w:rPr>
              <w:rFonts w:ascii="Arial Narrow" w:hAnsi="Arial Narrow"/>
              <w:color w:val="FFFFFF" w:themeColor="background1"/>
              <w:sz w:val="20"/>
              <w:szCs w:val="20"/>
            </w:rPr>
            <w:t>.</w:t>
          </w:r>
        </w:p>
        <w:p w14:paraId="5237D7AE" w14:textId="3D6A8646" w:rsidR="004B4ED4" w:rsidRPr="00373E93" w:rsidRDefault="004B4ED4" w:rsidP="004B4ED4">
          <w:pPr>
            <w:pStyle w:val="Footer"/>
            <w:tabs>
              <w:tab w:val="clear" w:pos="4536"/>
              <w:tab w:val="clear" w:pos="9072"/>
              <w:tab w:val="left" w:pos="1496"/>
              <w:tab w:val="center" w:pos="5386"/>
              <w:tab w:val="left" w:pos="9351"/>
            </w:tabs>
            <w:jc w:val="center"/>
            <w:rPr>
              <w:color w:val="FFFFFF" w:themeColor="background1"/>
              <w:sz w:val="16"/>
              <w:szCs w:val="16"/>
            </w:rPr>
          </w:pPr>
          <w:r w:rsidRPr="009B4850">
            <w:rPr>
              <w:rFonts w:ascii="Arial Narrow" w:hAnsi="Arial Narrow"/>
              <w:color w:val="FFFFFF" w:themeColor="background1"/>
              <w:sz w:val="20"/>
              <w:szCs w:val="20"/>
              <w:lang w:val="en-US"/>
            </w:rPr>
            <w:t xml:space="preserve"> </w:t>
          </w:r>
          <w:proofErr w:type="spellStart"/>
          <w:r w:rsidRPr="009B4850">
            <w:rPr>
              <w:rFonts w:ascii="Arial Narrow" w:hAnsi="Arial Narrow"/>
              <w:color w:val="FFFFFF" w:themeColor="background1"/>
              <w:sz w:val="20"/>
              <w:szCs w:val="20"/>
              <w:lang w:val="en-US"/>
            </w:rPr>
            <w:t>Infovonal</w:t>
          </w:r>
          <w:proofErr w:type="spellEnd"/>
          <w:r w:rsidRPr="009B4850">
            <w:rPr>
              <w:rFonts w:ascii="Arial Narrow" w:hAnsi="Arial Narrow"/>
              <w:color w:val="FFFFFF" w:themeColor="background1"/>
              <w:sz w:val="20"/>
              <w:szCs w:val="20"/>
              <w:lang w:val="en-US"/>
            </w:rPr>
            <w:t xml:space="preserve">: 06 80 200 505; </w:t>
          </w:r>
          <w:r w:rsidR="00723ECE">
            <w:rPr>
              <w:rFonts w:ascii="Arial Narrow" w:hAnsi="Arial Narrow"/>
              <w:color w:val="FFFFFF" w:themeColor="background1"/>
              <w:sz w:val="20"/>
              <w:szCs w:val="20"/>
              <w:lang w:val="en-US"/>
            </w:rPr>
            <w:t>www.sadolin.hu</w:t>
          </w:r>
        </w:p>
      </w:tc>
    </w:tr>
  </w:tbl>
  <w:p w14:paraId="4219E39B" w14:textId="5E8FE1C7" w:rsidR="004B4ED4" w:rsidRDefault="004B4ED4" w:rsidP="004B4ED4">
    <w:pPr>
      <w:pStyle w:val="Footer"/>
      <w:tabs>
        <w:tab w:val="clear" w:pos="4536"/>
        <w:tab w:val="clear" w:pos="9072"/>
        <w:tab w:val="left" w:pos="11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EF53" w14:textId="77777777" w:rsidR="0063662C" w:rsidRDefault="0063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A460" w14:textId="77777777" w:rsidR="00DA5342" w:rsidRDefault="00DA5342" w:rsidP="008203D9">
      <w:pPr>
        <w:spacing w:after="0" w:line="240" w:lineRule="auto"/>
      </w:pPr>
      <w:r>
        <w:separator/>
      </w:r>
    </w:p>
  </w:footnote>
  <w:footnote w:type="continuationSeparator" w:id="0">
    <w:p w14:paraId="5D03093D" w14:textId="77777777" w:rsidR="00DA5342" w:rsidRDefault="00DA5342" w:rsidP="008203D9">
      <w:pPr>
        <w:spacing w:after="0" w:line="240" w:lineRule="auto"/>
      </w:pPr>
      <w:r>
        <w:continuationSeparator/>
      </w:r>
    </w:p>
  </w:footnote>
  <w:footnote w:type="continuationNotice" w:id="1">
    <w:p w14:paraId="313B2EE1" w14:textId="77777777" w:rsidR="00DA5342" w:rsidRDefault="00DA5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40D8" w14:textId="77777777" w:rsidR="0063662C" w:rsidRDefault="00636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20BE" w14:textId="350B3462" w:rsidR="006705EB" w:rsidRPr="0091137C" w:rsidRDefault="00044EBA" w:rsidP="00F86D96">
    <w:pPr>
      <w:spacing w:after="120" w:line="240" w:lineRule="auto"/>
      <w:jc w:val="center"/>
      <w:rPr>
        <w:b/>
        <w:bCs/>
        <w:sz w:val="28"/>
        <w:szCs w:val="28"/>
      </w:rPr>
    </w:pPr>
    <w:r w:rsidRPr="00C74DEC">
      <w:rPr>
        <w:rFonts w:ascii="Amasis MT Pro" w:hAnsi="Amasis MT Pro"/>
        <w:noProof/>
        <w:sz w:val="24"/>
        <w:szCs w:val="24"/>
      </w:rPr>
      <w:drawing>
        <wp:anchor distT="0" distB="0" distL="114300" distR="114300" simplePos="0" relativeHeight="251658240" behindDoc="1" locked="0" layoutInCell="1" allowOverlap="1" wp14:anchorId="084DFECA" wp14:editId="4E8A5920">
          <wp:simplePos x="0" y="0"/>
          <wp:positionH relativeFrom="margin">
            <wp:posOffset>-537845</wp:posOffset>
          </wp:positionH>
          <wp:positionV relativeFrom="paragraph">
            <wp:posOffset>-335280</wp:posOffset>
          </wp:positionV>
          <wp:extent cx="6534150" cy="716915"/>
          <wp:effectExtent l="0" t="0" r="0" b="6985"/>
          <wp:wrapTight wrapText="bothSides">
            <wp:wrapPolygon edited="0">
              <wp:start x="0" y="0"/>
              <wp:lineTo x="0" y="21236"/>
              <wp:lineTo x="21537" y="21236"/>
              <wp:lineTo x="21537"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34150" cy="716915"/>
                  </a:xfrm>
                  <a:prstGeom prst="rect">
                    <a:avLst/>
                  </a:prstGeom>
                </pic:spPr>
              </pic:pic>
            </a:graphicData>
          </a:graphic>
          <wp14:sizeRelH relativeFrom="margin">
            <wp14:pctWidth>0</wp14:pctWidth>
          </wp14:sizeRelH>
          <wp14:sizeRelV relativeFrom="margin">
            <wp14:pctHeight>0</wp14:pctHeight>
          </wp14:sizeRelV>
        </wp:anchor>
      </w:drawing>
    </w:r>
    <w:r w:rsidR="006705EB" w:rsidRPr="0091137C">
      <w:rPr>
        <w:b/>
        <w:bCs/>
        <w:sz w:val="28"/>
        <w:szCs w:val="28"/>
      </w:rPr>
      <w:t>MŰSZAKI A</w:t>
    </w:r>
    <w:r w:rsidR="005D0300">
      <w:rPr>
        <w:b/>
        <w:bCs/>
        <w:sz w:val="28"/>
        <w:szCs w:val="28"/>
      </w:rPr>
      <w:t>D</w:t>
    </w:r>
    <w:r w:rsidR="006705EB" w:rsidRPr="0091137C">
      <w:rPr>
        <w:b/>
        <w:bCs/>
        <w:sz w:val="28"/>
        <w:szCs w:val="28"/>
      </w:rPr>
      <w:t>ATLAP</w:t>
    </w:r>
  </w:p>
  <w:p w14:paraId="41D2C156" w14:textId="0DF6FF10" w:rsidR="006705EB" w:rsidRPr="002B7EEB" w:rsidRDefault="005815B5" w:rsidP="006705EB">
    <w:pPr>
      <w:spacing w:after="120" w:line="240" w:lineRule="auto"/>
      <w:jc w:val="center"/>
      <w:rPr>
        <w:b/>
        <w:bCs/>
        <w:color w:val="FFC000"/>
        <w:sz w:val="40"/>
        <w:szCs w:val="40"/>
      </w:rPr>
    </w:pPr>
    <w:r w:rsidRPr="002B7EEB">
      <w:rPr>
        <w:b/>
        <w:bCs/>
        <w:color w:val="FFC000"/>
        <w:sz w:val="40"/>
        <w:szCs w:val="40"/>
      </w:rPr>
      <w:t xml:space="preserve">SADOLIN </w:t>
    </w:r>
    <w:r w:rsidR="00367744">
      <w:rPr>
        <w:b/>
        <w:bCs/>
        <w:color w:val="FFC000"/>
        <w:sz w:val="40"/>
        <w:szCs w:val="40"/>
      </w:rPr>
      <w:t>EXT</w:t>
    </w:r>
    <w:r w:rsidR="0063662C">
      <w:rPr>
        <w:b/>
        <w:bCs/>
        <w:color w:val="FFC000"/>
        <w:sz w:val="40"/>
        <w:szCs w:val="40"/>
      </w:rPr>
      <w:t>REME</w:t>
    </w:r>
  </w:p>
  <w:p w14:paraId="16F4401E" w14:textId="571C20FC" w:rsidR="008203D9" w:rsidRPr="005815B5" w:rsidRDefault="004F2658" w:rsidP="005815B5">
    <w:pPr>
      <w:spacing w:after="120" w:line="240" w:lineRule="auto"/>
      <w:jc w:val="center"/>
      <w:rPr>
        <w:b/>
        <w:bCs/>
        <w:sz w:val="24"/>
        <w:szCs w:val="24"/>
      </w:rPr>
    </w:pPr>
    <w:r>
      <w:rPr>
        <w:b/>
        <w:bCs/>
        <w:sz w:val="24"/>
        <w:szCs w:val="24"/>
      </w:rPr>
      <w:t>selyemfényű vastag</w:t>
    </w:r>
    <w:r w:rsidR="000F2B7A">
      <w:rPr>
        <w:b/>
        <w:bCs/>
        <w:sz w:val="24"/>
        <w:szCs w:val="24"/>
      </w:rPr>
      <w:t>lazúr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61F3" w14:textId="77777777" w:rsidR="0063662C" w:rsidRDefault="00636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436"/>
    <w:multiLevelType w:val="hybridMultilevel"/>
    <w:tmpl w:val="816EF94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221735"/>
    <w:multiLevelType w:val="hybridMultilevel"/>
    <w:tmpl w:val="5F7CB1EE"/>
    <w:lvl w:ilvl="0" w:tplc="C90EC44E">
      <w:start w:val="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242928"/>
    <w:multiLevelType w:val="multilevel"/>
    <w:tmpl w:val="5C6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20A04"/>
    <w:multiLevelType w:val="hybridMultilevel"/>
    <w:tmpl w:val="E7A2D604"/>
    <w:lvl w:ilvl="0" w:tplc="040E000D">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num w:numId="1" w16cid:durableId="1847672761">
    <w:abstractNumId w:val="2"/>
  </w:num>
  <w:num w:numId="2" w16cid:durableId="423840603">
    <w:abstractNumId w:val="0"/>
  </w:num>
  <w:num w:numId="3" w16cid:durableId="995917484">
    <w:abstractNumId w:val="1"/>
  </w:num>
  <w:num w:numId="4" w16cid:durableId="157162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9F"/>
    <w:rsid w:val="000051F1"/>
    <w:rsid w:val="00006CFA"/>
    <w:rsid w:val="00013C0C"/>
    <w:rsid w:val="000244A9"/>
    <w:rsid w:val="0003058D"/>
    <w:rsid w:val="00030994"/>
    <w:rsid w:val="00044EBA"/>
    <w:rsid w:val="000476D7"/>
    <w:rsid w:val="00080820"/>
    <w:rsid w:val="00083D05"/>
    <w:rsid w:val="000B352A"/>
    <w:rsid w:val="000B77B6"/>
    <w:rsid w:val="000C5A2E"/>
    <w:rsid w:val="000E02D3"/>
    <w:rsid w:val="000E4CA4"/>
    <w:rsid w:val="000E5F33"/>
    <w:rsid w:val="000F2B7A"/>
    <w:rsid w:val="000F4D73"/>
    <w:rsid w:val="000F7261"/>
    <w:rsid w:val="0011002B"/>
    <w:rsid w:val="00111951"/>
    <w:rsid w:val="00113989"/>
    <w:rsid w:val="001159C5"/>
    <w:rsid w:val="00124461"/>
    <w:rsid w:val="001271E4"/>
    <w:rsid w:val="00132475"/>
    <w:rsid w:val="00134279"/>
    <w:rsid w:val="00153DA0"/>
    <w:rsid w:val="001548B0"/>
    <w:rsid w:val="00164D31"/>
    <w:rsid w:val="001675E9"/>
    <w:rsid w:val="00167960"/>
    <w:rsid w:val="001732C5"/>
    <w:rsid w:val="00186A57"/>
    <w:rsid w:val="001E26EC"/>
    <w:rsid w:val="001F23B1"/>
    <w:rsid w:val="001F6F6A"/>
    <w:rsid w:val="00200959"/>
    <w:rsid w:val="00202721"/>
    <w:rsid w:val="00202D36"/>
    <w:rsid w:val="002072AD"/>
    <w:rsid w:val="00210E4B"/>
    <w:rsid w:val="0021411A"/>
    <w:rsid w:val="00214474"/>
    <w:rsid w:val="002160EA"/>
    <w:rsid w:val="00223AB4"/>
    <w:rsid w:val="002300DA"/>
    <w:rsid w:val="002336C4"/>
    <w:rsid w:val="002637DD"/>
    <w:rsid w:val="002718CC"/>
    <w:rsid w:val="00274366"/>
    <w:rsid w:val="00276439"/>
    <w:rsid w:val="002820CC"/>
    <w:rsid w:val="002863ED"/>
    <w:rsid w:val="00290F80"/>
    <w:rsid w:val="00293423"/>
    <w:rsid w:val="002A6184"/>
    <w:rsid w:val="002B2117"/>
    <w:rsid w:val="002B7EEB"/>
    <w:rsid w:val="002D617D"/>
    <w:rsid w:val="002F1A9D"/>
    <w:rsid w:val="002F3252"/>
    <w:rsid w:val="00303404"/>
    <w:rsid w:val="00304D85"/>
    <w:rsid w:val="00317223"/>
    <w:rsid w:val="00324225"/>
    <w:rsid w:val="00324864"/>
    <w:rsid w:val="003318CB"/>
    <w:rsid w:val="00337C24"/>
    <w:rsid w:val="0034353E"/>
    <w:rsid w:val="003467EB"/>
    <w:rsid w:val="003531A3"/>
    <w:rsid w:val="003537CB"/>
    <w:rsid w:val="003623FC"/>
    <w:rsid w:val="00363F26"/>
    <w:rsid w:val="00367744"/>
    <w:rsid w:val="00367B87"/>
    <w:rsid w:val="003839B5"/>
    <w:rsid w:val="00391EE8"/>
    <w:rsid w:val="00392A27"/>
    <w:rsid w:val="0039690F"/>
    <w:rsid w:val="003A1B82"/>
    <w:rsid w:val="003A4470"/>
    <w:rsid w:val="003D37EE"/>
    <w:rsid w:val="003E3CF7"/>
    <w:rsid w:val="003E4474"/>
    <w:rsid w:val="003E650F"/>
    <w:rsid w:val="003F1A4B"/>
    <w:rsid w:val="004163E1"/>
    <w:rsid w:val="0041685F"/>
    <w:rsid w:val="00416C24"/>
    <w:rsid w:val="00421EE3"/>
    <w:rsid w:val="004248D3"/>
    <w:rsid w:val="004265EF"/>
    <w:rsid w:val="00467142"/>
    <w:rsid w:val="00473C2D"/>
    <w:rsid w:val="0047616D"/>
    <w:rsid w:val="004845EC"/>
    <w:rsid w:val="0049466D"/>
    <w:rsid w:val="0049570D"/>
    <w:rsid w:val="004A55CB"/>
    <w:rsid w:val="004A6D8C"/>
    <w:rsid w:val="004A7E6A"/>
    <w:rsid w:val="004B48AB"/>
    <w:rsid w:val="004B4ED4"/>
    <w:rsid w:val="004B50A4"/>
    <w:rsid w:val="004C29A6"/>
    <w:rsid w:val="004E4995"/>
    <w:rsid w:val="004E59E0"/>
    <w:rsid w:val="004E6B9C"/>
    <w:rsid w:val="004F2658"/>
    <w:rsid w:val="00500C3C"/>
    <w:rsid w:val="0051625E"/>
    <w:rsid w:val="00536639"/>
    <w:rsid w:val="00540F29"/>
    <w:rsid w:val="00542171"/>
    <w:rsid w:val="00542A7B"/>
    <w:rsid w:val="00544048"/>
    <w:rsid w:val="00550E22"/>
    <w:rsid w:val="00565E98"/>
    <w:rsid w:val="00576417"/>
    <w:rsid w:val="005815B5"/>
    <w:rsid w:val="00586215"/>
    <w:rsid w:val="005A0C70"/>
    <w:rsid w:val="005A424C"/>
    <w:rsid w:val="005B5201"/>
    <w:rsid w:val="005C3B40"/>
    <w:rsid w:val="005D0300"/>
    <w:rsid w:val="005E3C3A"/>
    <w:rsid w:val="005F0DFB"/>
    <w:rsid w:val="005F282A"/>
    <w:rsid w:val="006048DA"/>
    <w:rsid w:val="006100CC"/>
    <w:rsid w:val="00614FF7"/>
    <w:rsid w:val="00616496"/>
    <w:rsid w:val="006209B0"/>
    <w:rsid w:val="00623AA1"/>
    <w:rsid w:val="0063662C"/>
    <w:rsid w:val="00640122"/>
    <w:rsid w:val="00651087"/>
    <w:rsid w:val="00661162"/>
    <w:rsid w:val="006705EB"/>
    <w:rsid w:val="0067166D"/>
    <w:rsid w:val="00680B9F"/>
    <w:rsid w:val="00680CCB"/>
    <w:rsid w:val="00681E59"/>
    <w:rsid w:val="00683771"/>
    <w:rsid w:val="006958FB"/>
    <w:rsid w:val="006A1F7A"/>
    <w:rsid w:val="006A51B6"/>
    <w:rsid w:val="006A6109"/>
    <w:rsid w:val="006B4D2A"/>
    <w:rsid w:val="006C0A08"/>
    <w:rsid w:val="006C335F"/>
    <w:rsid w:val="006C42A6"/>
    <w:rsid w:val="006C6254"/>
    <w:rsid w:val="006C6954"/>
    <w:rsid w:val="006D5A41"/>
    <w:rsid w:val="006E209F"/>
    <w:rsid w:val="006E2413"/>
    <w:rsid w:val="006F32AB"/>
    <w:rsid w:val="00720A3A"/>
    <w:rsid w:val="00723ECE"/>
    <w:rsid w:val="00736474"/>
    <w:rsid w:val="00736622"/>
    <w:rsid w:val="0074098C"/>
    <w:rsid w:val="00754C49"/>
    <w:rsid w:val="00760522"/>
    <w:rsid w:val="00760E03"/>
    <w:rsid w:val="00785687"/>
    <w:rsid w:val="007A208E"/>
    <w:rsid w:val="007B2CC6"/>
    <w:rsid w:val="007E0C73"/>
    <w:rsid w:val="007E4425"/>
    <w:rsid w:val="007F0AD6"/>
    <w:rsid w:val="007F4B18"/>
    <w:rsid w:val="008203D9"/>
    <w:rsid w:val="00826280"/>
    <w:rsid w:val="008301AA"/>
    <w:rsid w:val="00834155"/>
    <w:rsid w:val="00837026"/>
    <w:rsid w:val="008453CB"/>
    <w:rsid w:val="00845416"/>
    <w:rsid w:val="00852902"/>
    <w:rsid w:val="00857F9E"/>
    <w:rsid w:val="00860CB3"/>
    <w:rsid w:val="00864298"/>
    <w:rsid w:val="00870EFF"/>
    <w:rsid w:val="00875E42"/>
    <w:rsid w:val="008764E0"/>
    <w:rsid w:val="0088216E"/>
    <w:rsid w:val="00886C84"/>
    <w:rsid w:val="008928B8"/>
    <w:rsid w:val="008A14B5"/>
    <w:rsid w:val="008A347F"/>
    <w:rsid w:val="008A7696"/>
    <w:rsid w:val="008B3D21"/>
    <w:rsid w:val="008B51EB"/>
    <w:rsid w:val="008B52A6"/>
    <w:rsid w:val="008C1C60"/>
    <w:rsid w:val="008F65EE"/>
    <w:rsid w:val="00904CDB"/>
    <w:rsid w:val="00907419"/>
    <w:rsid w:val="00910631"/>
    <w:rsid w:val="00913791"/>
    <w:rsid w:val="00930033"/>
    <w:rsid w:val="00935777"/>
    <w:rsid w:val="009547B3"/>
    <w:rsid w:val="0097248B"/>
    <w:rsid w:val="00981FCC"/>
    <w:rsid w:val="009A3BB5"/>
    <w:rsid w:val="009B4A5D"/>
    <w:rsid w:val="009B5ABC"/>
    <w:rsid w:val="009D5C65"/>
    <w:rsid w:val="009F525B"/>
    <w:rsid w:val="009F7691"/>
    <w:rsid w:val="00A04067"/>
    <w:rsid w:val="00A301B6"/>
    <w:rsid w:val="00A32129"/>
    <w:rsid w:val="00A330C1"/>
    <w:rsid w:val="00A346B9"/>
    <w:rsid w:val="00A4067C"/>
    <w:rsid w:val="00A42669"/>
    <w:rsid w:val="00A47D10"/>
    <w:rsid w:val="00A54501"/>
    <w:rsid w:val="00A61D80"/>
    <w:rsid w:val="00A756AC"/>
    <w:rsid w:val="00A75CA1"/>
    <w:rsid w:val="00A83E20"/>
    <w:rsid w:val="00A901EA"/>
    <w:rsid w:val="00AA586E"/>
    <w:rsid w:val="00AC1201"/>
    <w:rsid w:val="00AD49B1"/>
    <w:rsid w:val="00AE57DB"/>
    <w:rsid w:val="00AF3764"/>
    <w:rsid w:val="00AF7D52"/>
    <w:rsid w:val="00B078D8"/>
    <w:rsid w:val="00B12C11"/>
    <w:rsid w:val="00B5789A"/>
    <w:rsid w:val="00B61C15"/>
    <w:rsid w:val="00B70A92"/>
    <w:rsid w:val="00B717AE"/>
    <w:rsid w:val="00B77473"/>
    <w:rsid w:val="00B8566A"/>
    <w:rsid w:val="00BA2430"/>
    <w:rsid w:val="00BA3427"/>
    <w:rsid w:val="00BA4A6A"/>
    <w:rsid w:val="00BB6BFE"/>
    <w:rsid w:val="00BC249E"/>
    <w:rsid w:val="00BC4B11"/>
    <w:rsid w:val="00BC63A7"/>
    <w:rsid w:val="00BD471B"/>
    <w:rsid w:val="00BF52D3"/>
    <w:rsid w:val="00BF7A5D"/>
    <w:rsid w:val="00C027F8"/>
    <w:rsid w:val="00C076F7"/>
    <w:rsid w:val="00C12691"/>
    <w:rsid w:val="00C151F3"/>
    <w:rsid w:val="00C1523B"/>
    <w:rsid w:val="00C16C4F"/>
    <w:rsid w:val="00C249B1"/>
    <w:rsid w:val="00C312C1"/>
    <w:rsid w:val="00C44B6A"/>
    <w:rsid w:val="00C54472"/>
    <w:rsid w:val="00C71234"/>
    <w:rsid w:val="00C7189A"/>
    <w:rsid w:val="00C74DEC"/>
    <w:rsid w:val="00C754BD"/>
    <w:rsid w:val="00C76B4E"/>
    <w:rsid w:val="00C808ED"/>
    <w:rsid w:val="00C81171"/>
    <w:rsid w:val="00C90E29"/>
    <w:rsid w:val="00C91268"/>
    <w:rsid w:val="00CC645B"/>
    <w:rsid w:val="00CC7258"/>
    <w:rsid w:val="00CD0922"/>
    <w:rsid w:val="00CD36DA"/>
    <w:rsid w:val="00CD482A"/>
    <w:rsid w:val="00D01FEC"/>
    <w:rsid w:val="00D051D8"/>
    <w:rsid w:val="00D16755"/>
    <w:rsid w:val="00D231EA"/>
    <w:rsid w:val="00D405D3"/>
    <w:rsid w:val="00D422FE"/>
    <w:rsid w:val="00D4236D"/>
    <w:rsid w:val="00D530A9"/>
    <w:rsid w:val="00D61E7A"/>
    <w:rsid w:val="00D62128"/>
    <w:rsid w:val="00D63496"/>
    <w:rsid w:val="00D64C30"/>
    <w:rsid w:val="00D662DE"/>
    <w:rsid w:val="00D700D5"/>
    <w:rsid w:val="00D73A8B"/>
    <w:rsid w:val="00D86635"/>
    <w:rsid w:val="00D90535"/>
    <w:rsid w:val="00DA19A5"/>
    <w:rsid w:val="00DA5342"/>
    <w:rsid w:val="00DA565E"/>
    <w:rsid w:val="00DB2859"/>
    <w:rsid w:val="00DB3F2E"/>
    <w:rsid w:val="00DC2104"/>
    <w:rsid w:val="00DC2E8A"/>
    <w:rsid w:val="00DC495D"/>
    <w:rsid w:val="00DC4FF6"/>
    <w:rsid w:val="00DE1BFD"/>
    <w:rsid w:val="00DE3F6C"/>
    <w:rsid w:val="00DE6738"/>
    <w:rsid w:val="00DE6C52"/>
    <w:rsid w:val="00DF07FC"/>
    <w:rsid w:val="00E02E6B"/>
    <w:rsid w:val="00E04DC7"/>
    <w:rsid w:val="00E21966"/>
    <w:rsid w:val="00E2601A"/>
    <w:rsid w:val="00E26274"/>
    <w:rsid w:val="00E346BD"/>
    <w:rsid w:val="00E51E88"/>
    <w:rsid w:val="00E76D79"/>
    <w:rsid w:val="00E7724D"/>
    <w:rsid w:val="00E858CF"/>
    <w:rsid w:val="00E85EA3"/>
    <w:rsid w:val="00E90FB2"/>
    <w:rsid w:val="00EA2EE4"/>
    <w:rsid w:val="00EA797F"/>
    <w:rsid w:val="00EB05B5"/>
    <w:rsid w:val="00EC236A"/>
    <w:rsid w:val="00EC34B6"/>
    <w:rsid w:val="00EC7217"/>
    <w:rsid w:val="00ED075C"/>
    <w:rsid w:val="00EE2756"/>
    <w:rsid w:val="00EE38F8"/>
    <w:rsid w:val="00EF27F3"/>
    <w:rsid w:val="00F10D05"/>
    <w:rsid w:val="00F11AB3"/>
    <w:rsid w:val="00F21FF5"/>
    <w:rsid w:val="00F2581F"/>
    <w:rsid w:val="00F3303F"/>
    <w:rsid w:val="00F621A7"/>
    <w:rsid w:val="00F649C8"/>
    <w:rsid w:val="00F6749A"/>
    <w:rsid w:val="00F70A92"/>
    <w:rsid w:val="00F86D96"/>
    <w:rsid w:val="00FA16DE"/>
    <w:rsid w:val="00FA1A4C"/>
    <w:rsid w:val="00FA7B27"/>
    <w:rsid w:val="00FC7549"/>
    <w:rsid w:val="00FD4616"/>
    <w:rsid w:val="00FE15BF"/>
    <w:rsid w:val="00FE6B47"/>
    <w:rsid w:val="00FF0E6A"/>
    <w:rsid w:val="00FF1A82"/>
    <w:rsid w:val="00FF7B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C70A"/>
  <w15:chartTrackingRefBased/>
  <w15:docId w15:val="{D1C66A37-E92D-466D-8E6E-090FF02A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3D9"/>
  </w:style>
  <w:style w:type="paragraph" w:styleId="Footer">
    <w:name w:val="footer"/>
    <w:basedOn w:val="Normal"/>
    <w:link w:val="FooterChar"/>
    <w:uiPriority w:val="99"/>
    <w:unhideWhenUsed/>
    <w:rsid w:val="00820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3D9"/>
  </w:style>
  <w:style w:type="table" w:styleId="TableGrid">
    <w:name w:val="Table Grid"/>
    <w:basedOn w:val="TableNormal"/>
    <w:uiPriority w:val="59"/>
    <w:rsid w:val="004B4ED4"/>
    <w:pPr>
      <w:spacing w:after="0" w:line="240" w:lineRule="auto"/>
    </w:pPr>
    <w:rPr>
      <w:rFonts w:ascii="Arial" w:hAnsi="Arial"/>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45B"/>
    <w:pPr>
      <w:ind w:left="720"/>
      <w:contextualSpacing/>
    </w:pPr>
  </w:style>
  <w:style w:type="character" w:styleId="Hyperlink">
    <w:name w:val="Hyperlink"/>
    <w:basedOn w:val="DefaultParagraphFont"/>
    <w:uiPriority w:val="99"/>
    <w:unhideWhenUsed/>
    <w:rsid w:val="00BC6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op.akzonobel.hu/safety-document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B46D-C5C3-4A23-8FEA-4B81068C8122}">
  <ds:schemaRefs>
    <ds:schemaRef ds:uri="http://schemas.openxmlformats.org/officeDocument/2006/bibliography"/>
  </ds:schemaRefs>
</ds:datastoreItem>
</file>

<file path=docMetadata/LabelInfo.xml><?xml version="1.0" encoding="utf-8"?>
<clbl:labelList xmlns:clbl="http://schemas.microsoft.com/office/2020/mipLabelMetadata">
  <clbl:label id="{bafec85b-e817-4277-86cb-66dc7d424280}" enabled="1" method="Standard" siteId="{aab2e961-1f45-4717-9a42-8f87802af9bd}"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7688</Characters>
  <Application>Microsoft Office Word</Application>
  <DocSecurity>4</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Levai</dc:creator>
  <cp:keywords/>
  <dc:description/>
  <cp:lastModifiedBy>Tamara Levai</cp:lastModifiedBy>
  <cp:revision>2</cp:revision>
  <dcterms:created xsi:type="dcterms:W3CDTF">2023-10-17T10:17:00Z</dcterms:created>
  <dcterms:modified xsi:type="dcterms:W3CDTF">2023-10-17T10:17:00Z</dcterms:modified>
</cp:coreProperties>
</file>