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766"/>
        <w:gridCol w:w="846"/>
        <w:gridCol w:w="3705"/>
        <w:gridCol w:w="2317"/>
      </w:tblGrid>
      <w:tr w:rsidR="00F621A7" w:rsidRPr="00F10D05" w14:paraId="1D63B4C6" w14:textId="358EA836" w:rsidTr="004C29A6">
        <w:tc>
          <w:tcPr>
            <w:tcW w:w="2766" w:type="dxa"/>
            <w:vMerge w:val="restart"/>
            <w:tcBorders>
              <w:top w:val="nil"/>
              <w:left w:val="nil"/>
              <w:bottom w:val="nil"/>
              <w:right w:val="nil"/>
            </w:tcBorders>
          </w:tcPr>
          <w:p w14:paraId="39C83D78" w14:textId="34ADD8BF" w:rsidR="00167960" w:rsidRPr="00F10D05" w:rsidRDefault="00006CFA" w:rsidP="00E51E88">
            <w:pPr>
              <w:jc w:val="both"/>
              <w:rPr>
                <w:rFonts w:cs="Arial"/>
                <w:sz w:val="20"/>
                <w:szCs w:val="20"/>
                <w:lang w:val="hu-HU"/>
              </w:rPr>
            </w:pPr>
            <w:r w:rsidRPr="00F621A7">
              <w:rPr>
                <w:rFonts w:cs="Arial"/>
                <w:noProof/>
                <w:sz w:val="20"/>
                <w:szCs w:val="20"/>
              </w:rPr>
              <w:drawing>
                <wp:anchor distT="0" distB="0" distL="114300" distR="114300" simplePos="0" relativeHeight="251723264" behindDoc="0" locked="0" layoutInCell="1" allowOverlap="1" wp14:anchorId="198F74B7" wp14:editId="7D996370">
                  <wp:simplePos x="0" y="0"/>
                  <wp:positionH relativeFrom="column">
                    <wp:posOffset>-470232</wp:posOffset>
                  </wp:positionH>
                  <wp:positionV relativeFrom="paragraph">
                    <wp:posOffset>-37828</wp:posOffset>
                  </wp:positionV>
                  <wp:extent cx="1392072" cy="186871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823" cy="1875088"/>
                          </a:xfrm>
                          <a:prstGeom prst="rect">
                            <a:avLst/>
                          </a:prstGeom>
                        </pic:spPr>
                      </pic:pic>
                    </a:graphicData>
                  </a:graphic>
                  <wp14:sizeRelH relativeFrom="margin">
                    <wp14:pctWidth>0</wp14:pctWidth>
                  </wp14:sizeRelH>
                  <wp14:sizeRelV relativeFrom="margin">
                    <wp14:pctHeight>0</wp14:pctHeight>
                  </wp14:sizeRelV>
                </wp:anchor>
              </w:drawing>
            </w:r>
            <w:r w:rsidRPr="003537CB">
              <w:rPr>
                <w:rFonts w:cs="Arial"/>
                <w:noProof/>
                <w:sz w:val="20"/>
                <w:szCs w:val="20"/>
              </w:rPr>
              <w:drawing>
                <wp:anchor distT="0" distB="0" distL="114300" distR="114300" simplePos="0" relativeHeight="251720192" behindDoc="0" locked="0" layoutInCell="1" allowOverlap="1" wp14:anchorId="64FC9809" wp14:editId="614DFFFC">
                  <wp:simplePos x="0" y="0"/>
                  <wp:positionH relativeFrom="column">
                    <wp:posOffset>1019649</wp:posOffset>
                  </wp:positionH>
                  <wp:positionV relativeFrom="paragraph">
                    <wp:posOffset>575945</wp:posOffset>
                  </wp:positionV>
                  <wp:extent cx="355600" cy="342265"/>
                  <wp:effectExtent l="133350" t="76200" r="82550" b="13398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5600" cy="3422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F10D05">
              <w:rPr>
                <w:rFonts w:cs="Arial"/>
                <w:noProof/>
                <w:sz w:val="20"/>
                <w:szCs w:val="20"/>
              </w:rPr>
              <mc:AlternateContent>
                <mc:Choice Requires="wps">
                  <w:drawing>
                    <wp:anchor distT="0" distB="0" distL="114300" distR="114300" simplePos="0" relativeHeight="251708928" behindDoc="0" locked="0" layoutInCell="1" allowOverlap="1" wp14:anchorId="6F370D92" wp14:editId="4AFD9469">
                      <wp:simplePos x="0" y="0"/>
                      <wp:positionH relativeFrom="column">
                        <wp:posOffset>1548291</wp:posOffset>
                      </wp:positionH>
                      <wp:positionV relativeFrom="paragraph">
                        <wp:posOffset>569595</wp:posOffset>
                      </wp:positionV>
                      <wp:extent cx="2876550" cy="370248"/>
                      <wp:effectExtent l="0" t="0" r="19050" b="10795"/>
                      <wp:wrapNone/>
                      <wp:docPr id="6" name="Téglalap: lekerekített 6"/>
                      <wp:cNvGraphicFramePr/>
                      <a:graphic xmlns:a="http://schemas.openxmlformats.org/drawingml/2006/main">
                        <a:graphicData uri="http://schemas.microsoft.com/office/word/2010/wordprocessingShape">
                          <wps:wsp>
                            <wps:cNvSpPr/>
                            <wps:spPr>
                              <a:xfrm>
                                <a:off x="0" y="0"/>
                                <a:ext cx="2876550" cy="370248"/>
                              </a:xfrm>
                              <a:prstGeom prst="roundRect">
                                <a:avLst/>
                              </a:prstGeom>
                              <a:solidFill>
                                <a:srgbClr val="EEB5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E597FD" w14:textId="026F8712" w:rsidR="00167960" w:rsidRPr="00A901EA" w:rsidRDefault="00FE15BF" w:rsidP="00044EBA">
                                  <w:pPr>
                                    <w:spacing w:after="120" w:line="240" w:lineRule="auto"/>
                                    <w:rPr>
                                      <w:color w:val="808080" w:themeColor="background1" w:themeShade="80"/>
                                      <w:sz w:val="32"/>
                                      <w:szCs w:val="32"/>
                                    </w:rPr>
                                  </w:pPr>
                                  <w:proofErr w:type="spellStart"/>
                                  <w:r>
                                    <w:rPr>
                                      <w:color w:val="808080" w:themeColor="background1" w:themeShade="80"/>
                                      <w:sz w:val="32"/>
                                      <w:szCs w:val="32"/>
                                    </w:rPr>
                                    <w:t>Flexi</w:t>
                                  </w:r>
                                  <w:r w:rsidR="00640122">
                                    <w:rPr>
                                      <w:color w:val="808080" w:themeColor="background1" w:themeShade="80"/>
                                      <w:sz w:val="32"/>
                                      <w:szCs w:val="32"/>
                                    </w:rPr>
                                    <w:t>guard</w:t>
                                  </w:r>
                                  <w:proofErr w:type="spellEnd"/>
                                  <w:r w:rsidR="00640122">
                                    <w:rPr>
                                      <w:color w:val="808080" w:themeColor="background1" w:themeShade="80"/>
                                      <w:sz w:val="32"/>
                                      <w:szCs w:val="32"/>
                                    </w:rPr>
                                    <w:t xml:space="preserve"> - r</w:t>
                                  </w:r>
                                  <w:r w:rsidR="00030994" w:rsidRPr="00A901EA">
                                    <w:rPr>
                                      <w:color w:val="808080" w:themeColor="background1" w:themeShade="80"/>
                                      <w:sz w:val="32"/>
                                      <w:szCs w:val="32"/>
                                    </w:rPr>
                                    <w:t>ugalmas bevonat</w:t>
                                  </w:r>
                                  <w:r w:rsidR="00167960" w:rsidRPr="00A901EA">
                                    <w:rPr>
                                      <w:color w:val="808080" w:themeColor="background1" w:themeShade="8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70D92" id="Téglalap: lekerekített 6" o:spid="_x0000_s1026" style="position:absolute;left:0;text-align:left;margin-left:121.9pt;margin-top:44.85pt;width:226.5pt;height:29.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" fillcolor="#eeb500" strokecolor="#1f3763 [1604]" strokeweight="1pt">
                      <v:stroke joinstyle="miter"/>
                      <v:textbox>
                        <w:txbxContent>
                          <w:p w14:paraId="5CE597FD" w14:textId="026F8712" w:rsidR="00167960" w:rsidRPr="00A901EA" w:rsidRDefault="00FE15BF" w:rsidP="00044EBA">
                            <w:pPr>
                              <w:spacing w:after="120" w:line="240" w:lineRule="auto"/>
                              <w:rPr>
                                <w:color w:val="808080" w:themeColor="background1" w:themeShade="80"/>
                                <w:sz w:val="32"/>
                                <w:szCs w:val="32"/>
                              </w:rPr>
                            </w:pPr>
                            <w:proofErr w:type="spellStart"/>
                            <w:r>
                              <w:rPr>
                                <w:color w:val="808080" w:themeColor="background1" w:themeShade="80"/>
                                <w:sz w:val="32"/>
                                <w:szCs w:val="32"/>
                              </w:rPr>
                              <w:t>Flexi</w:t>
                            </w:r>
                            <w:r w:rsidR="00640122">
                              <w:rPr>
                                <w:color w:val="808080" w:themeColor="background1" w:themeShade="80"/>
                                <w:sz w:val="32"/>
                                <w:szCs w:val="32"/>
                              </w:rPr>
                              <w:t>guard</w:t>
                            </w:r>
                            <w:proofErr w:type="spellEnd"/>
                            <w:r w:rsidR="00640122">
                              <w:rPr>
                                <w:color w:val="808080" w:themeColor="background1" w:themeShade="80"/>
                                <w:sz w:val="32"/>
                                <w:szCs w:val="32"/>
                              </w:rPr>
                              <w:t xml:space="preserve"> - r</w:t>
                            </w:r>
                            <w:r w:rsidR="00030994" w:rsidRPr="00A901EA">
                              <w:rPr>
                                <w:color w:val="808080" w:themeColor="background1" w:themeShade="80"/>
                                <w:sz w:val="32"/>
                                <w:szCs w:val="32"/>
                              </w:rPr>
                              <w:t>ugalmas bevonat</w:t>
                            </w:r>
                            <w:r w:rsidR="00167960" w:rsidRPr="00A901EA">
                              <w:rPr>
                                <w:color w:val="808080" w:themeColor="background1" w:themeShade="80"/>
                                <w:sz w:val="32"/>
                                <w:szCs w:val="32"/>
                              </w:rPr>
                              <w:t xml:space="preserve"> </w:t>
                            </w:r>
                          </w:p>
                        </w:txbxContent>
                      </v:textbox>
                    </v:roundrect>
                  </w:pict>
                </mc:Fallback>
              </mc:AlternateContent>
            </w:r>
            <w:r w:rsidRPr="00F10D05">
              <w:rPr>
                <w:rFonts w:cs="Arial"/>
                <w:noProof/>
                <w:sz w:val="20"/>
                <w:szCs w:val="20"/>
              </w:rPr>
              <mc:AlternateContent>
                <mc:Choice Requires="wps">
                  <w:drawing>
                    <wp:anchor distT="0" distB="0" distL="114300" distR="114300" simplePos="0" relativeHeight="251706880" behindDoc="0" locked="0" layoutInCell="1" allowOverlap="1" wp14:anchorId="60EBD255" wp14:editId="06129A3B">
                      <wp:simplePos x="0" y="0"/>
                      <wp:positionH relativeFrom="column">
                        <wp:posOffset>1542415</wp:posOffset>
                      </wp:positionH>
                      <wp:positionV relativeFrom="paragraph">
                        <wp:posOffset>1001395</wp:posOffset>
                      </wp:positionV>
                      <wp:extent cx="2857500" cy="370840"/>
                      <wp:effectExtent l="0" t="0" r="19050" b="10160"/>
                      <wp:wrapNone/>
                      <wp:docPr id="9" name="Téglalap: lekerekített 9"/>
                      <wp:cNvGraphicFramePr/>
                      <a:graphic xmlns:a="http://schemas.openxmlformats.org/drawingml/2006/main">
                        <a:graphicData uri="http://schemas.microsoft.com/office/word/2010/wordprocessingShape">
                          <wps:wsp>
                            <wps:cNvSpPr/>
                            <wps:spPr>
                              <a:xfrm>
                                <a:off x="0" y="0"/>
                                <a:ext cx="2857500" cy="370840"/>
                              </a:xfrm>
                              <a:prstGeom prst="roundRect">
                                <a:avLst/>
                              </a:prstGeom>
                              <a:solidFill>
                                <a:srgbClr val="EEB5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FB97B2" w14:textId="26FACA5C" w:rsidR="00167960" w:rsidRPr="00A901EA" w:rsidRDefault="00640122" w:rsidP="00B8566A">
                                  <w:pPr>
                                    <w:spacing w:before="100" w:beforeAutospacing="1" w:after="100" w:afterAutospacing="1"/>
                                    <w:rPr>
                                      <w:color w:val="808080" w:themeColor="background1" w:themeShade="80"/>
                                      <w:sz w:val="32"/>
                                      <w:szCs w:val="32"/>
                                    </w:rPr>
                                  </w:pPr>
                                  <w:r>
                                    <w:rPr>
                                      <w:color w:val="808080" w:themeColor="background1" w:themeShade="80"/>
                                      <w:sz w:val="32"/>
                                      <w:szCs w:val="32"/>
                                    </w:rPr>
                                    <w:t>Teljeskörű védelem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BD255" id="Téglalap: lekerekített 9" o:spid="_x0000_s1027" style="position:absolute;left:0;text-align:left;margin-left:121.45pt;margin-top:78.85pt;width:225pt;height:29.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" fillcolor="#eeb500" strokecolor="#1f3763 [1604]" strokeweight="1pt">
                      <v:stroke joinstyle="miter"/>
                      <v:textbox>
                        <w:txbxContent>
                          <w:p w14:paraId="50FB97B2" w14:textId="26FACA5C" w:rsidR="00167960" w:rsidRPr="00A901EA" w:rsidRDefault="00640122" w:rsidP="00B8566A">
                            <w:pPr>
                              <w:spacing w:before="100" w:beforeAutospacing="1" w:after="100" w:afterAutospacing="1"/>
                              <w:rPr>
                                <w:color w:val="808080" w:themeColor="background1" w:themeShade="80"/>
                                <w:sz w:val="32"/>
                                <w:szCs w:val="32"/>
                              </w:rPr>
                            </w:pPr>
                            <w:r>
                              <w:rPr>
                                <w:color w:val="808080" w:themeColor="background1" w:themeShade="80"/>
                                <w:sz w:val="32"/>
                                <w:szCs w:val="32"/>
                              </w:rPr>
                              <w:t>Teljeskörű védelem</w:t>
                            </w:r>
                          </w:p>
                        </w:txbxContent>
                      </v:textbox>
                    </v:roundrect>
                  </w:pict>
                </mc:Fallback>
              </mc:AlternateContent>
            </w:r>
            <w:r w:rsidRPr="003537CB">
              <w:rPr>
                <w:rFonts w:cs="Arial"/>
                <w:noProof/>
                <w:sz w:val="20"/>
                <w:szCs w:val="20"/>
              </w:rPr>
              <w:drawing>
                <wp:anchor distT="0" distB="0" distL="114300" distR="114300" simplePos="0" relativeHeight="251721216" behindDoc="0" locked="0" layoutInCell="1" allowOverlap="1" wp14:anchorId="3EB9BA94" wp14:editId="4427F2FC">
                  <wp:simplePos x="0" y="0"/>
                  <wp:positionH relativeFrom="column">
                    <wp:posOffset>1023709</wp:posOffset>
                  </wp:positionH>
                  <wp:positionV relativeFrom="paragraph">
                    <wp:posOffset>1039324</wp:posOffset>
                  </wp:positionV>
                  <wp:extent cx="341194" cy="319039"/>
                  <wp:effectExtent l="133350" t="76200" r="78105" b="13843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1194" cy="3190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B77473" w:rsidRPr="00F10D05">
              <w:rPr>
                <w:rFonts w:cs="Arial"/>
                <w:noProof/>
                <w:sz w:val="20"/>
                <w:szCs w:val="20"/>
                <w:lang w:val="hu-HU"/>
              </w:rPr>
              <w:t xml:space="preserve"> </w:t>
            </w:r>
            <w:r w:rsidR="004A7E6A" w:rsidRPr="00F10D05">
              <w:rPr>
                <w:rFonts w:cs="Arial"/>
                <w:noProof/>
                <w:sz w:val="20"/>
                <w:szCs w:val="20"/>
                <w:lang w:val="hu-HU"/>
              </w:rPr>
              <w:t xml:space="preserve"> </w:t>
            </w:r>
            <w:r w:rsidR="00367744" w:rsidRPr="00F10D05">
              <w:rPr>
                <w:rFonts w:cs="Arial"/>
                <w:noProof/>
                <w:sz w:val="20"/>
                <w:szCs w:val="20"/>
                <w:lang w:val="hu-HU"/>
              </w:rPr>
              <w:t xml:space="preserve"> </w:t>
            </w:r>
          </w:p>
        </w:tc>
        <w:tc>
          <w:tcPr>
            <w:tcW w:w="846" w:type="dxa"/>
            <w:tcBorders>
              <w:top w:val="nil"/>
              <w:left w:val="nil"/>
              <w:bottom w:val="nil"/>
              <w:right w:val="nil"/>
            </w:tcBorders>
          </w:tcPr>
          <w:p w14:paraId="0A6C84AF" w14:textId="6B7897DA" w:rsidR="004C29A6" w:rsidRPr="00F10D05" w:rsidRDefault="004C29A6" w:rsidP="00E51E88">
            <w:pPr>
              <w:jc w:val="both"/>
              <w:rPr>
                <w:rFonts w:cs="Arial"/>
                <w:noProof/>
                <w:sz w:val="20"/>
                <w:szCs w:val="20"/>
                <w:lang w:val="hu-HU"/>
              </w:rPr>
            </w:pPr>
          </w:p>
          <w:p w14:paraId="51EAF3A4" w14:textId="6A01F9C3" w:rsidR="00542171" w:rsidRPr="00F10D05" w:rsidRDefault="00542171" w:rsidP="00E51E88">
            <w:pPr>
              <w:jc w:val="both"/>
              <w:rPr>
                <w:rFonts w:cs="Arial"/>
                <w:noProof/>
                <w:sz w:val="20"/>
                <w:szCs w:val="20"/>
                <w:lang w:val="hu-HU"/>
              </w:rPr>
            </w:pPr>
          </w:p>
        </w:tc>
        <w:tc>
          <w:tcPr>
            <w:tcW w:w="3705" w:type="dxa"/>
            <w:tcBorders>
              <w:top w:val="nil"/>
              <w:left w:val="nil"/>
              <w:bottom w:val="nil"/>
              <w:right w:val="nil"/>
            </w:tcBorders>
          </w:tcPr>
          <w:p w14:paraId="3D91CC9F" w14:textId="1C2B821F" w:rsidR="00167960" w:rsidRPr="00F10D05" w:rsidRDefault="00006CFA" w:rsidP="00E51E88">
            <w:pPr>
              <w:jc w:val="both"/>
              <w:rPr>
                <w:rFonts w:cs="Arial"/>
                <w:noProof/>
                <w:sz w:val="20"/>
                <w:szCs w:val="20"/>
                <w:lang w:val="hu-HU"/>
              </w:rPr>
            </w:pPr>
            <w:r w:rsidRPr="00006CFA">
              <w:rPr>
                <w:rFonts w:cs="Arial"/>
                <w:noProof/>
                <w:sz w:val="20"/>
                <w:szCs w:val="20"/>
              </w:rPr>
              <w:drawing>
                <wp:anchor distT="0" distB="0" distL="114300" distR="114300" simplePos="0" relativeHeight="251725312" behindDoc="0" locked="0" layoutInCell="1" allowOverlap="1" wp14:anchorId="1717CBFD" wp14:editId="3B681787">
                  <wp:simplePos x="0" y="0"/>
                  <wp:positionH relativeFrom="column">
                    <wp:posOffset>-587035</wp:posOffset>
                  </wp:positionH>
                  <wp:positionV relativeFrom="paragraph">
                    <wp:posOffset>-82823</wp:posOffset>
                  </wp:positionV>
                  <wp:extent cx="2466475" cy="591335"/>
                  <wp:effectExtent l="0" t="0" r="0" b="0"/>
                  <wp:wrapNone/>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163" cy="596055"/>
                          </a:xfrm>
                          <a:prstGeom prst="rect">
                            <a:avLst/>
                          </a:prstGeom>
                        </pic:spPr>
                      </pic:pic>
                    </a:graphicData>
                  </a:graphic>
                  <wp14:sizeRelH relativeFrom="margin">
                    <wp14:pctWidth>0</wp14:pctWidth>
                  </wp14:sizeRelH>
                  <wp14:sizeRelV relativeFrom="margin">
                    <wp14:pctHeight>0</wp14:pctHeight>
                  </wp14:sizeRelV>
                </wp:anchor>
              </w:drawing>
            </w:r>
          </w:p>
        </w:tc>
        <w:tc>
          <w:tcPr>
            <w:tcW w:w="2317" w:type="dxa"/>
            <w:vMerge w:val="restart"/>
            <w:tcBorders>
              <w:top w:val="nil"/>
              <w:left w:val="nil"/>
              <w:bottom w:val="nil"/>
              <w:right w:val="nil"/>
            </w:tcBorders>
          </w:tcPr>
          <w:p w14:paraId="3CD7EFCA" w14:textId="3587A922" w:rsidR="00167960" w:rsidRPr="00F10D05" w:rsidRDefault="00651087" w:rsidP="00E51E88">
            <w:pPr>
              <w:jc w:val="both"/>
              <w:rPr>
                <w:rFonts w:cs="Arial"/>
                <w:noProof/>
                <w:sz w:val="20"/>
                <w:szCs w:val="20"/>
                <w:lang w:val="hu-HU"/>
              </w:rPr>
            </w:pPr>
            <w:r w:rsidRPr="00651087">
              <w:rPr>
                <w:rFonts w:cs="Arial"/>
                <w:noProof/>
                <w:sz w:val="20"/>
                <w:szCs w:val="20"/>
              </w:rPr>
              <w:drawing>
                <wp:anchor distT="0" distB="0" distL="114300" distR="114300" simplePos="0" relativeHeight="251724288" behindDoc="0" locked="0" layoutInCell="1" allowOverlap="1" wp14:anchorId="6DD4BFED" wp14:editId="1A70B03E">
                  <wp:simplePos x="0" y="0"/>
                  <wp:positionH relativeFrom="column">
                    <wp:posOffset>21988</wp:posOffset>
                  </wp:positionH>
                  <wp:positionV relativeFrom="paragraph">
                    <wp:posOffset>596985</wp:posOffset>
                  </wp:positionV>
                  <wp:extent cx="898891" cy="941696"/>
                  <wp:effectExtent l="133350" t="133350" r="130175" b="125730"/>
                  <wp:wrapNone/>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8891" cy="941696"/>
                          </a:xfrm>
                          <a:prstGeom prst="ellipse">
                            <a:avLst/>
                          </a:prstGeom>
                          <a:ln w="190500" cap="rnd">
                            <a:no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p>
        </w:tc>
      </w:tr>
      <w:tr w:rsidR="00F621A7" w:rsidRPr="00F10D05" w14:paraId="4FE02302" w14:textId="2F4318BB" w:rsidTr="004C29A6">
        <w:tc>
          <w:tcPr>
            <w:tcW w:w="2766" w:type="dxa"/>
            <w:vMerge/>
            <w:tcBorders>
              <w:top w:val="nil"/>
              <w:left w:val="nil"/>
              <w:bottom w:val="nil"/>
              <w:right w:val="nil"/>
            </w:tcBorders>
          </w:tcPr>
          <w:p w14:paraId="5392625E" w14:textId="77777777" w:rsidR="00167960" w:rsidRPr="00F10D05" w:rsidRDefault="00167960" w:rsidP="00E51E88">
            <w:pPr>
              <w:jc w:val="both"/>
              <w:rPr>
                <w:rFonts w:cs="Arial"/>
                <w:sz w:val="20"/>
                <w:szCs w:val="20"/>
                <w:lang w:val="hu-HU"/>
              </w:rPr>
            </w:pPr>
          </w:p>
        </w:tc>
        <w:tc>
          <w:tcPr>
            <w:tcW w:w="846" w:type="dxa"/>
            <w:tcBorders>
              <w:top w:val="nil"/>
              <w:left w:val="nil"/>
              <w:bottom w:val="nil"/>
              <w:right w:val="nil"/>
            </w:tcBorders>
          </w:tcPr>
          <w:p w14:paraId="31D4954E" w14:textId="19DDEC86" w:rsidR="00167960" w:rsidRPr="00F10D05" w:rsidRDefault="00167960" w:rsidP="00E51E88">
            <w:pPr>
              <w:jc w:val="both"/>
              <w:rPr>
                <w:rFonts w:cs="Arial"/>
                <w:sz w:val="20"/>
                <w:szCs w:val="20"/>
                <w:lang w:val="hu-HU"/>
              </w:rPr>
            </w:pPr>
          </w:p>
        </w:tc>
        <w:tc>
          <w:tcPr>
            <w:tcW w:w="3705" w:type="dxa"/>
            <w:tcBorders>
              <w:top w:val="nil"/>
              <w:left w:val="nil"/>
              <w:bottom w:val="nil"/>
              <w:right w:val="nil"/>
            </w:tcBorders>
          </w:tcPr>
          <w:p w14:paraId="559F4082" w14:textId="4A8645AB" w:rsidR="00167960" w:rsidRPr="00F10D05" w:rsidRDefault="00167960" w:rsidP="00E51E88">
            <w:pPr>
              <w:jc w:val="both"/>
              <w:rPr>
                <w:rFonts w:cs="Arial"/>
                <w:sz w:val="20"/>
                <w:szCs w:val="20"/>
                <w:lang w:val="hu-HU"/>
              </w:rPr>
            </w:pPr>
          </w:p>
          <w:p w14:paraId="19DC5D58" w14:textId="23E6D694" w:rsidR="00167960" w:rsidRPr="00F10D05" w:rsidRDefault="00167960" w:rsidP="00E51E88">
            <w:pPr>
              <w:jc w:val="both"/>
              <w:rPr>
                <w:rFonts w:cs="Arial"/>
                <w:sz w:val="20"/>
                <w:szCs w:val="20"/>
                <w:lang w:val="hu-HU"/>
              </w:rPr>
            </w:pPr>
          </w:p>
          <w:p w14:paraId="43708D0E" w14:textId="2F627741" w:rsidR="00167960" w:rsidRPr="00F10D05" w:rsidRDefault="00167960" w:rsidP="00E51E88">
            <w:pPr>
              <w:jc w:val="both"/>
              <w:rPr>
                <w:rFonts w:cs="Arial"/>
                <w:sz w:val="20"/>
                <w:szCs w:val="20"/>
                <w:lang w:val="hu-HU"/>
              </w:rPr>
            </w:pPr>
          </w:p>
        </w:tc>
        <w:tc>
          <w:tcPr>
            <w:tcW w:w="2317" w:type="dxa"/>
            <w:vMerge/>
            <w:tcBorders>
              <w:top w:val="nil"/>
              <w:left w:val="nil"/>
              <w:bottom w:val="nil"/>
              <w:right w:val="nil"/>
            </w:tcBorders>
          </w:tcPr>
          <w:p w14:paraId="3C18839E" w14:textId="77777777" w:rsidR="00167960" w:rsidRPr="00F10D05" w:rsidRDefault="00167960" w:rsidP="00E51E88">
            <w:pPr>
              <w:jc w:val="both"/>
              <w:rPr>
                <w:rFonts w:cs="Arial"/>
                <w:noProof/>
                <w:sz w:val="20"/>
                <w:szCs w:val="20"/>
                <w:lang w:val="hu-HU"/>
              </w:rPr>
            </w:pPr>
          </w:p>
        </w:tc>
      </w:tr>
      <w:tr w:rsidR="00F621A7" w:rsidRPr="00F10D05" w14:paraId="1F606947" w14:textId="223C9BED" w:rsidTr="004C29A6">
        <w:trPr>
          <w:trHeight w:val="1120"/>
        </w:trPr>
        <w:tc>
          <w:tcPr>
            <w:tcW w:w="2766" w:type="dxa"/>
            <w:vMerge/>
            <w:tcBorders>
              <w:top w:val="nil"/>
              <w:left w:val="nil"/>
              <w:bottom w:val="nil"/>
              <w:right w:val="nil"/>
            </w:tcBorders>
          </w:tcPr>
          <w:p w14:paraId="64ABE428" w14:textId="77777777" w:rsidR="00167960" w:rsidRPr="00F10D05" w:rsidRDefault="00167960" w:rsidP="00E51E88">
            <w:pPr>
              <w:jc w:val="both"/>
              <w:rPr>
                <w:rFonts w:cs="Arial"/>
                <w:sz w:val="20"/>
                <w:szCs w:val="20"/>
                <w:lang w:val="hu-HU"/>
              </w:rPr>
            </w:pPr>
          </w:p>
        </w:tc>
        <w:tc>
          <w:tcPr>
            <w:tcW w:w="846" w:type="dxa"/>
            <w:tcBorders>
              <w:top w:val="nil"/>
              <w:left w:val="nil"/>
              <w:bottom w:val="nil"/>
              <w:right w:val="nil"/>
            </w:tcBorders>
          </w:tcPr>
          <w:p w14:paraId="5574B921" w14:textId="28DE6DF1" w:rsidR="004C29A6" w:rsidRPr="00F10D05" w:rsidRDefault="004C29A6" w:rsidP="00E51E88">
            <w:pPr>
              <w:jc w:val="both"/>
              <w:rPr>
                <w:rFonts w:cs="Arial"/>
                <w:noProof/>
                <w:sz w:val="20"/>
                <w:szCs w:val="20"/>
                <w:lang w:val="hu-HU"/>
              </w:rPr>
            </w:pPr>
          </w:p>
          <w:p w14:paraId="315CC9F8" w14:textId="2212C8D5" w:rsidR="00167960" w:rsidRPr="00F10D05" w:rsidRDefault="00167960" w:rsidP="00E51E88">
            <w:pPr>
              <w:jc w:val="both"/>
              <w:rPr>
                <w:rFonts w:cs="Arial"/>
                <w:sz w:val="20"/>
                <w:szCs w:val="20"/>
                <w:lang w:val="hu-HU"/>
              </w:rPr>
            </w:pPr>
          </w:p>
        </w:tc>
        <w:tc>
          <w:tcPr>
            <w:tcW w:w="3705" w:type="dxa"/>
            <w:tcBorders>
              <w:top w:val="nil"/>
              <w:left w:val="nil"/>
              <w:bottom w:val="nil"/>
              <w:right w:val="nil"/>
            </w:tcBorders>
          </w:tcPr>
          <w:p w14:paraId="4EE09CE8" w14:textId="385569E7" w:rsidR="00167960" w:rsidRPr="00F10D05" w:rsidRDefault="00167960" w:rsidP="00E51E88">
            <w:pPr>
              <w:jc w:val="both"/>
              <w:rPr>
                <w:rFonts w:cs="Arial"/>
                <w:sz w:val="20"/>
                <w:szCs w:val="20"/>
                <w:lang w:val="hu-HU"/>
              </w:rPr>
            </w:pPr>
          </w:p>
          <w:p w14:paraId="34831FFA" w14:textId="76CC3E1D" w:rsidR="00167960" w:rsidRPr="00F10D05" w:rsidRDefault="00167960" w:rsidP="00E51E88">
            <w:pPr>
              <w:jc w:val="both"/>
              <w:rPr>
                <w:rFonts w:cs="Arial"/>
                <w:sz w:val="20"/>
                <w:szCs w:val="20"/>
                <w:lang w:val="hu-HU"/>
              </w:rPr>
            </w:pPr>
          </w:p>
          <w:p w14:paraId="4FBCF719" w14:textId="4668B961" w:rsidR="00167960" w:rsidRPr="00F10D05" w:rsidRDefault="00167960" w:rsidP="00E51E88">
            <w:pPr>
              <w:jc w:val="both"/>
              <w:rPr>
                <w:rFonts w:cs="Arial"/>
                <w:sz w:val="20"/>
                <w:szCs w:val="20"/>
                <w:lang w:val="hu-HU"/>
              </w:rPr>
            </w:pPr>
          </w:p>
        </w:tc>
        <w:tc>
          <w:tcPr>
            <w:tcW w:w="2317" w:type="dxa"/>
            <w:vMerge/>
            <w:tcBorders>
              <w:top w:val="nil"/>
              <w:left w:val="nil"/>
              <w:bottom w:val="nil"/>
              <w:right w:val="nil"/>
            </w:tcBorders>
          </w:tcPr>
          <w:p w14:paraId="0A369317" w14:textId="77777777" w:rsidR="00167960" w:rsidRPr="00F10D05" w:rsidRDefault="00167960" w:rsidP="00E51E88">
            <w:pPr>
              <w:jc w:val="both"/>
              <w:rPr>
                <w:rFonts w:cs="Arial"/>
                <w:noProof/>
                <w:sz w:val="20"/>
                <w:szCs w:val="20"/>
                <w:lang w:val="hu-HU"/>
              </w:rPr>
            </w:pPr>
          </w:p>
        </w:tc>
      </w:tr>
    </w:tbl>
    <w:p w14:paraId="74D4900E" w14:textId="24DC5B78" w:rsidR="001675E9" w:rsidRPr="00F10D05" w:rsidRDefault="00006CFA" w:rsidP="00E51E88">
      <w:pPr>
        <w:jc w:val="both"/>
        <w:rPr>
          <w:rFonts w:ascii="Arial" w:hAnsi="Arial" w:cs="Arial"/>
          <w:sz w:val="20"/>
          <w:szCs w:val="20"/>
        </w:rPr>
      </w:pPr>
      <w:r w:rsidRPr="00F10D05">
        <w:rPr>
          <w:rFonts w:ascii="Arial" w:hAnsi="Arial" w:cs="Arial"/>
          <w:noProof/>
          <w:sz w:val="20"/>
          <w:szCs w:val="20"/>
        </w:rPr>
        <mc:AlternateContent>
          <mc:Choice Requires="wps">
            <w:drawing>
              <wp:anchor distT="0" distB="0" distL="114300" distR="114300" simplePos="0" relativeHeight="251707904" behindDoc="0" locked="0" layoutInCell="1" allowOverlap="1" wp14:anchorId="43642B38" wp14:editId="2DA1117D">
                <wp:simplePos x="0" y="0"/>
                <wp:positionH relativeFrom="column">
                  <wp:posOffset>1633239</wp:posOffset>
                </wp:positionH>
                <wp:positionV relativeFrom="paragraph">
                  <wp:posOffset>8255</wp:posOffset>
                </wp:positionV>
                <wp:extent cx="2847975" cy="380529"/>
                <wp:effectExtent l="0" t="0" r="28575" b="19685"/>
                <wp:wrapNone/>
                <wp:docPr id="10" name="Téglalap: lekerekített 10"/>
                <wp:cNvGraphicFramePr/>
                <a:graphic xmlns:a="http://schemas.openxmlformats.org/drawingml/2006/main">
                  <a:graphicData uri="http://schemas.microsoft.com/office/word/2010/wordprocessingShape">
                    <wps:wsp>
                      <wps:cNvSpPr/>
                      <wps:spPr>
                        <a:xfrm>
                          <a:off x="0" y="0"/>
                          <a:ext cx="2847975" cy="380529"/>
                        </a:xfrm>
                        <a:prstGeom prst="roundRect">
                          <a:avLst/>
                        </a:prstGeom>
                        <a:solidFill>
                          <a:srgbClr val="EEB5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18287" w14:textId="17CD88BA" w:rsidR="00167960" w:rsidRPr="00337C24" w:rsidRDefault="00640122" w:rsidP="002336C4">
                            <w:pPr>
                              <w:rPr>
                                <w:sz w:val="32"/>
                                <w:szCs w:val="32"/>
                              </w:rPr>
                            </w:pPr>
                            <w:r>
                              <w:rPr>
                                <w:color w:val="808080" w:themeColor="background1" w:themeShade="80"/>
                                <w:sz w:val="32"/>
                                <w:szCs w:val="32"/>
                              </w:rPr>
                              <w:t xml:space="preserve">Ellenáll a </w:t>
                            </w:r>
                            <w:proofErr w:type="spellStart"/>
                            <w:r>
                              <w:rPr>
                                <w:color w:val="808080" w:themeColor="background1" w:themeShade="80"/>
                                <w:sz w:val="32"/>
                                <w:szCs w:val="32"/>
                              </w:rPr>
                              <w:t>biokorrózióval</w:t>
                            </w:r>
                            <w:proofErr w:type="spellEnd"/>
                            <w:r>
                              <w:rPr>
                                <w:color w:val="808080" w:themeColor="background1" w:themeShade="80"/>
                                <w:sz w:val="32"/>
                                <w:szCs w:val="32"/>
                              </w:rPr>
                              <w:t xml:space="preserve"> szemben. </w:t>
                            </w:r>
                            <w:r w:rsidR="00167960">
                              <w:rPr>
                                <w:noProof/>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42B38" id="Téglalap: lekerekített 10" o:spid="_x0000_s1028" style="position:absolute;left:0;text-align:left;margin-left:128.6pt;margin-top:.65pt;width:224.25pt;height:2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" fillcolor="#eeb500" strokecolor="#1f3763 [1604]" strokeweight="1pt">
                <v:stroke joinstyle="miter"/>
                <v:textbox>
                  <w:txbxContent>
                    <w:p w14:paraId="59618287" w14:textId="17CD88BA" w:rsidR="00167960" w:rsidRPr="00337C24" w:rsidRDefault="00640122" w:rsidP="002336C4">
                      <w:pPr>
                        <w:rPr>
                          <w:sz w:val="32"/>
                          <w:szCs w:val="32"/>
                        </w:rPr>
                      </w:pPr>
                      <w:r>
                        <w:rPr>
                          <w:color w:val="808080" w:themeColor="background1" w:themeShade="80"/>
                          <w:sz w:val="32"/>
                          <w:szCs w:val="32"/>
                        </w:rPr>
                        <w:t xml:space="preserve">Ellenáll a </w:t>
                      </w:r>
                      <w:proofErr w:type="spellStart"/>
                      <w:r>
                        <w:rPr>
                          <w:color w:val="808080" w:themeColor="background1" w:themeShade="80"/>
                          <w:sz w:val="32"/>
                          <w:szCs w:val="32"/>
                        </w:rPr>
                        <w:t>biokorrózióval</w:t>
                      </w:r>
                      <w:proofErr w:type="spellEnd"/>
                      <w:r>
                        <w:rPr>
                          <w:color w:val="808080" w:themeColor="background1" w:themeShade="80"/>
                          <w:sz w:val="32"/>
                          <w:szCs w:val="32"/>
                        </w:rPr>
                        <w:t xml:space="preserve"> szemben. </w:t>
                      </w:r>
                      <w:r w:rsidR="00167960">
                        <w:rPr>
                          <w:noProof/>
                          <w:sz w:val="32"/>
                          <w:szCs w:val="32"/>
                        </w:rPr>
                        <w:t xml:space="preserve"> </w:t>
                      </w:r>
                    </w:p>
                  </w:txbxContent>
                </v:textbox>
              </v:roundrect>
            </w:pict>
          </mc:Fallback>
        </mc:AlternateContent>
      </w:r>
      <w:r w:rsidRPr="006E2413">
        <w:rPr>
          <w:rFonts w:cs="Arial"/>
          <w:noProof/>
          <w:sz w:val="20"/>
          <w:szCs w:val="20"/>
        </w:rPr>
        <w:drawing>
          <wp:anchor distT="0" distB="0" distL="114300" distR="114300" simplePos="0" relativeHeight="251722240" behindDoc="0" locked="0" layoutInCell="1" allowOverlap="1" wp14:anchorId="4921EFE3" wp14:editId="72D497F6">
            <wp:simplePos x="0" y="0"/>
            <wp:positionH relativeFrom="column">
              <wp:posOffset>1071728</wp:posOffset>
            </wp:positionH>
            <wp:positionV relativeFrom="paragraph">
              <wp:posOffset>7715</wp:posOffset>
            </wp:positionV>
            <wp:extent cx="382137" cy="353830"/>
            <wp:effectExtent l="133350" t="76200" r="75565" b="141605"/>
            <wp:wrapNone/>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2137" cy="3538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1650977" w14:textId="77777777" w:rsidR="00083D05" w:rsidRPr="00F10D05" w:rsidRDefault="00083D05" w:rsidP="00E51E88">
      <w:pPr>
        <w:jc w:val="both"/>
        <w:rPr>
          <w:rFonts w:ascii="Arial" w:hAnsi="Arial" w:cs="Arial"/>
          <w:sz w:val="20"/>
          <w:szCs w:val="20"/>
        </w:rPr>
      </w:pPr>
    </w:p>
    <w:tbl>
      <w:tblPr>
        <w:tblStyle w:val="TableGrid"/>
        <w:tblW w:w="10348" w:type="dxa"/>
        <w:tblInd w:w="-714" w:type="dxa"/>
        <w:tblLook w:val="04A0" w:firstRow="1" w:lastRow="0" w:firstColumn="1" w:lastColumn="0" w:noHBand="0" w:noVBand="1"/>
      </w:tblPr>
      <w:tblGrid>
        <w:gridCol w:w="3261"/>
        <w:gridCol w:w="7087"/>
      </w:tblGrid>
      <w:tr w:rsidR="002863ED" w:rsidRPr="00F10D05" w14:paraId="35896A54" w14:textId="77777777" w:rsidTr="00C91268">
        <w:tc>
          <w:tcPr>
            <w:tcW w:w="10348" w:type="dxa"/>
            <w:gridSpan w:val="2"/>
            <w:shd w:val="clear" w:color="auto" w:fill="000000" w:themeFill="text1"/>
          </w:tcPr>
          <w:p w14:paraId="13EAE615" w14:textId="3EE3B1A7" w:rsidR="002863ED" w:rsidRPr="00214474" w:rsidRDefault="002863ED" w:rsidP="008B51EB">
            <w:pPr>
              <w:spacing w:before="120" w:after="120"/>
              <w:jc w:val="center"/>
              <w:rPr>
                <w:rFonts w:cs="Arial"/>
                <w:color w:val="FFFFFF" w:themeColor="background1"/>
                <w:sz w:val="28"/>
                <w:szCs w:val="28"/>
                <w:shd w:val="clear" w:color="auto" w:fill="000000" w:themeFill="text1"/>
                <w:lang w:val="hu-HU"/>
              </w:rPr>
            </w:pPr>
            <w:r w:rsidRPr="00214474">
              <w:rPr>
                <w:rFonts w:cs="Arial"/>
                <w:sz w:val="28"/>
                <w:szCs w:val="28"/>
                <w:lang w:val="hu-HU"/>
              </w:rPr>
              <w:t>TERMÉKINFOMRÁCIÓ</w:t>
            </w:r>
          </w:p>
        </w:tc>
      </w:tr>
      <w:tr w:rsidR="002863ED" w:rsidRPr="00F10D05" w14:paraId="57B427BA" w14:textId="77777777" w:rsidTr="002863ED">
        <w:tc>
          <w:tcPr>
            <w:tcW w:w="3261" w:type="dxa"/>
          </w:tcPr>
          <w:p w14:paraId="7F3FA184" w14:textId="2010329E" w:rsidR="002863ED" w:rsidRPr="00F10D05" w:rsidRDefault="002863ED" w:rsidP="005C3B40">
            <w:pPr>
              <w:spacing w:before="120" w:after="120"/>
              <w:jc w:val="both"/>
              <w:rPr>
                <w:rFonts w:cs="Arial"/>
                <w:sz w:val="20"/>
                <w:szCs w:val="20"/>
                <w:lang w:val="hu-HU"/>
              </w:rPr>
            </w:pPr>
            <w:r w:rsidRPr="00F10D05">
              <w:rPr>
                <w:rFonts w:cs="Arial"/>
                <w:sz w:val="20"/>
                <w:szCs w:val="20"/>
                <w:lang w:val="hu-HU"/>
              </w:rPr>
              <w:t>Felhasználási terület</w:t>
            </w:r>
          </w:p>
        </w:tc>
        <w:tc>
          <w:tcPr>
            <w:tcW w:w="7087" w:type="dxa"/>
          </w:tcPr>
          <w:p w14:paraId="31BA9DB2" w14:textId="15A1B905" w:rsidR="00A47D10" w:rsidRPr="00EC4F9D" w:rsidRDefault="00A47D10" w:rsidP="00A47D10">
            <w:pPr>
              <w:spacing w:before="120" w:after="120"/>
              <w:jc w:val="both"/>
              <w:rPr>
                <w:rFonts w:cs="Arial"/>
                <w:sz w:val="20"/>
                <w:szCs w:val="20"/>
                <w:lang w:val="hu-HU"/>
              </w:rPr>
            </w:pPr>
            <w:r w:rsidRPr="00EC4F9D">
              <w:rPr>
                <w:rFonts w:cs="Arial"/>
                <w:sz w:val="20"/>
                <w:szCs w:val="20"/>
                <w:lang w:val="hu-HU"/>
              </w:rPr>
              <w:t xml:space="preserve">A Sadolin Extra kültéri, selyemfényű vastaglazúr óvja és díszíti a kültéri fafelületeket. Megnövelt viasztartalmának köszönhetően hatékonyan taszítja a vizet, fokozottabb védelmet nyújt a fa számára kiemelve a fa természetes szépségét és tartósságát. </w:t>
            </w:r>
          </w:p>
          <w:p w14:paraId="5F409366" w14:textId="00108A99" w:rsidR="00A47D10" w:rsidRPr="00EC4F9D" w:rsidRDefault="00A47D10" w:rsidP="00A47D10">
            <w:pPr>
              <w:spacing w:before="120" w:after="120"/>
              <w:jc w:val="both"/>
              <w:rPr>
                <w:rFonts w:cs="Arial"/>
                <w:sz w:val="20"/>
                <w:szCs w:val="20"/>
                <w:lang w:val="hu-HU"/>
              </w:rPr>
            </w:pPr>
            <w:r w:rsidRPr="00EC4F9D">
              <w:rPr>
                <w:rFonts w:cs="Arial"/>
                <w:sz w:val="20"/>
                <w:szCs w:val="20"/>
                <w:lang w:val="hu-HU"/>
              </w:rPr>
              <w:t xml:space="preserve">Hosszantartó védelmet biztosít az időjárással, valamint a nap UV-sugárzásával szemben. A Sadolin Extra puhafa és keményfa felületek bevonására, natúr vagy már létező sértetlen, áttetsző bevonat festésére ajánlott. </w:t>
            </w:r>
          </w:p>
          <w:p w14:paraId="4B6392CF" w14:textId="77777777" w:rsidR="00A47D10" w:rsidRPr="00EC4F9D" w:rsidRDefault="00A47D10" w:rsidP="00A47D10">
            <w:pPr>
              <w:spacing w:before="120" w:after="120"/>
              <w:jc w:val="both"/>
              <w:rPr>
                <w:rFonts w:cs="Arial"/>
                <w:sz w:val="20"/>
                <w:szCs w:val="20"/>
                <w:lang w:val="hu-HU"/>
              </w:rPr>
            </w:pPr>
            <w:r w:rsidRPr="00EC4F9D">
              <w:rPr>
                <w:rFonts w:cs="Arial"/>
                <w:sz w:val="20"/>
                <w:szCs w:val="20"/>
                <w:lang w:val="hu-HU"/>
              </w:rPr>
              <w:t xml:space="preserve">Fából készült mérettartó faszerkezetek (ajtó, ablak, zsalugáter) homlokzati borítás, oromdeszka, erkélykorlát, kerti bútor védelmére ajánlott </w:t>
            </w:r>
            <w:proofErr w:type="spellStart"/>
            <w:r w:rsidRPr="00EC4F9D">
              <w:rPr>
                <w:rFonts w:cs="Arial"/>
                <w:sz w:val="20"/>
                <w:szCs w:val="20"/>
                <w:lang w:val="hu-HU"/>
              </w:rPr>
              <w:t>alkidgyanta</w:t>
            </w:r>
            <w:proofErr w:type="spellEnd"/>
            <w:r w:rsidRPr="00EC4F9D">
              <w:rPr>
                <w:rFonts w:cs="Arial"/>
                <w:sz w:val="20"/>
                <w:szCs w:val="20"/>
                <w:lang w:val="hu-HU"/>
              </w:rPr>
              <w:t xml:space="preserve"> bázisú, oldószeres vastaglazúr. Modern összetevőinek köszönhetően mélyen behatol a fába, így akár 10 év </w:t>
            </w:r>
            <w:proofErr w:type="spellStart"/>
            <w:r w:rsidRPr="00EC4F9D">
              <w:rPr>
                <w:rFonts w:cs="Arial"/>
                <w:sz w:val="20"/>
                <w:szCs w:val="20"/>
                <w:lang w:val="hu-HU"/>
              </w:rPr>
              <w:t>évdelmet</w:t>
            </w:r>
            <w:proofErr w:type="spellEnd"/>
            <w:r w:rsidRPr="00EC4F9D">
              <w:rPr>
                <w:rFonts w:cs="Arial"/>
                <w:sz w:val="20"/>
                <w:szCs w:val="20"/>
                <w:lang w:val="hu-HU"/>
              </w:rPr>
              <w:t xml:space="preserve"> is biztosít.</w:t>
            </w:r>
          </w:p>
          <w:p w14:paraId="16848076" w14:textId="77777777" w:rsidR="00AF3764" w:rsidRDefault="00A47D10" w:rsidP="00A47D10">
            <w:pPr>
              <w:spacing w:before="120" w:after="120"/>
              <w:jc w:val="both"/>
              <w:rPr>
                <w:rFonts w:cs="Arial"/>
                <w:sz w:val="20"/>
                <w:szCs w:val="20"/>
              </w:rPr>
            </w:pPr>
            <w:r w:rsidRPr="00A47D10">
              <w:rPr>
                <w:rFonts w:cs="Arial"/>
                <w:sz w:val="20"/>
                <w:szCs w:val="20"/>
                <w:lang w:val="hu-HU"/>
              </w:rPr>
              <w:t xml:space="preserve">Az időjárási körülmények gyakran próbára tesznek minket. Eső, napsütés és szél - fafelülteinket sem kímélik. A Sadolin Extra megnövelt viasztartalma könnyedén lepergeti az esőt és a nedvességet, a fa ezért tovább marad szép és egészséges. </w:t>
            </w:r>
            <w:r w:rsidRPr="00A47D10">
              <w:rPr>
                <w:rFonts w:cs="Arial"/>
                <w:sz w:val="20"/>
                <w:szCs w:val="20"/>
              </w:rPr>
              <w:t xml:space="preserve">Sadolin. </w:t>
            </w:r>
            <w:proofErr w:type="spellStart"/>
            <w:r w:rsidRPr="00A47D10">
              <w:rPr>
                <w:rFonts w:cs="Arial"/>
                <w:sz w:val="20"/>
                <w:szCs w:val="20"/>
              </w:rPr>
              <w:t>Védi</w:t>
            </w:r>
            <w:proofErr w:type="spellEnd"/>
            <w:r w:rsidRPr="00A47D10">
              <w:rPr>
                <w:rFonts w:cs="Arial"/>
                <w:sz w:val="20"/>
                <w:szCs w:val="20"/>
              </w:rPr>
              <w:t xml:space="preserve"> a </w:t>
            </w:r>
            <w:proofErr w:type="spellStart"/>
            <w:r w:rsidRPr="00A47D10">
              <w:rPr>
                <w:rFonts w:cs="Arial"/>
                <w:sz w:val="20"/>
                <w:szCs w:val="20"/>
              </w:rPr>
              <w:t>fát</w:t>
            </w:r>
            <w:proofErr w:type="spellEnd"/>
            <w:r w:rsidRPr="00A47D10">
              <w:rPr>
                <w:rFonts w:cs="Arial"/>
                <w:sz w:val="20"/>
                <w:szCs w:val="20"/>
              </w:rPr>
              <w:t xml:space="preserve"> </w:t>
            </w:r>
            <w:proofErr w:type="spellStart"/>
            <w:r w:rsidRPr="00A47D10">
              <w:rPr>
                <w:rFonts w:cs="Arial"/>
                <w:sz w:val="20"/>
                <w:szCs w:val="20"/>
              </w:rPr>
              <w:t>éveken</w:t>
            </w:r>
            <w:proofErr w:type="spellEnd"/>
            <w:r w:rsidRPr="00A47D10">
              <w:rPr>
                <w:rFonts w:cs="Arial"/>
                <w:sz w:val="20"/>
                <w:szCs w:val="20"/>
              </w:rPr>
              <w:t xml:space="preserve"> </w:t>
            </w:r>
            <w:proofErr w:type="spellStart"/>
            <w:r w:rsidRPr="00A47D10">
              <w:rPr>
                <w:rFonts w:cs="Arial"/>
                <w:sz w:val="20"/>
                <w:szCs w:val="20"/>
              </w:rPr>
              <w:t>át</w:t>
            </w:r>
            <w:proofErr w:type="spellEnd"/>
            <w:r w:rsidRPr="00A47D10">
              <w:rPr>
                <w:rFonts w:cs="Arial"/>
                <w:sz w:val="20"/>
                <w:szCs w:val="20"/>
              </w:rPr>
              <w:t>.</w:t>
            </w:r>
          </w:p>
          <w:p w14:paraId="472453EB" w14:textId="28E28E94" w:rsidR="00324225" w:rsidRPr="00AF3764" w:rsidRDefault="00324225" w:rsidP="00A47D10">
            <w:pPr>
              <w:spacing w:before="120" w:after="120"/>
              <w:jc w:val="both"/>
              <w:rPr>
                <w:rFonts w:cs="Arial"/>
                <w:sz w:val="20"/>
                <w:szCs w:val="20"/>
              </w:rPr>
            </w:pPr>
            <w:r w:rsidRPr="00324225">
              <w:rPr>
                <w:rFonts w:cs="Arial"/>
                <w:noProof/>
                <w:sz w:val="20"/>
                <w:szCs w:val="20"/>
              </w:rPr>
              <w:drawing>
                <wp:inline distT="0" distB="0" distL="0" distR="0" wp14:anchorId="7C5C9705" wp14:editId="6F55342E">
                  <wp:extent cx="1494430" cy="57320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r="56681" b="4477"/>
                          <a:stretch/>
                        </pic:blipFill>
                        <pic:spPr bwMode="auto">
                          <a:xfrm>
                            <a:off x="0" y="0"/>
                            <a:ext cx="1510259" cy="579277"/>
                          </a:xfrm>
                          <a:prstGeom prst="rect">
                            <a:avLst/>
                          </a:prstGeom>
                          <a:ln>
                            <a:noFill/>
                          </a:ln>
                          <a:extLst>
                            <a:ext uri="{53640926-AAD7-44D8-BBD7-CCE9431645EC}">
                              <a14:shadowObscured xmlns:a14="http://schemas.microsoft.com/office/drawing/2010/main"/>
                            </a:ext>
                          </a:extLst>
                        </pic:spPr>
                      </pic:pic>
                    </a:graphicData>
                  </a:graphic>
                </wp:inline>
              </w:drawing>
            </w:r>
          </w:p>
        </w:tc>
      </w:tr>
      <w:tr w:rsidR="002863ED" w:rsidRPr="00F10D05" w14:paraId="5F89980B" w14:textId="77777777" w:rsidTr="002863ED">
        <w:tc>
          <w:tcPr>
            <w:tcW w:w="3261" w:type="dxa"/>
          </w:tcPr>
          <w:p w14:paraId="3564DDBE" w14:textId="6C5265ED" w:rsidR="002863ED" w:rsidRPr="00F10D05" w:rsidRDefault="002863ED" w:rsidP="005C3B40">
            <w:pPr>
              <w:spacing w:before="120" w:after="120"/>
              <w:jc w:val="both"/>
              <w:rPr>
                <w:rFonts w:cs="Arial"/>
                <w:sz w:val="20"/>
                <w:szCs w:val="20"/>
                <w:lang w:val="hu-HU"/>
              </w:rPr>
            </w:pPr>
            <w:r w:rsidRPr="00F10D05">
              <w:rPr>
                <w:rFonts w:cs="Arial"/>
                <w:sz w:val="20"/>
                <w:szCs w:val="20"/>
                <w:lang w:val="hu-HU"/>
              </w:rPr>
              <w:t>Kiszerelések</w:t>
            </w:r>
          </w:p>
        </w:tc>
        <w:tc>
          <w:tcPr>
            <w:tcW w:w="7087" w:type="dxa"/>
          </w:tcPr>
          <w:p w14:paraId="799B8D53" w14:textId="1C370F7E" w:rsidR="002863ED" w:rsidRPr="00F10D05" w:rsidRDefault="002863ED" w:rsidP="005C3B40">
            <w:pPr>
              <w:spacing w:before="120" w:after="120"/>
              <w:jc w:val="both"/>
              <w:rPr>
                <w:rFonts w:cs="Arial"/>
                <w:sz w:val="20"/>
                <w:szCs w:val="20"/>
                <w:lang w:val="hu-HU"/>
              </w:rPr>
            </w:pPr>
            <w:r w:rsidRPr="00F10D05">
              <w:rPr>
                <w:rFonts w:cs="Arial"/>
                <w:sz w:val="20"/>
                <w:szCs w:val="20"/>
                <w:lang w:val="hu-HU"/>
              </w:rPr>
              <w:t>0,75 L; 2,5 L</w:t>
            </w:r>
          </w:p>
        </w:tc>
      </w:tr>
      <w:tr w:rsidR="002863ED" w:rsidRPr="00F10D05" w14:paraId="2051438A" w14:textId="77777777" w:rsidTr="002863ED">
        <w:tc>
          <w:tcPr>
            <w:tcW w:w="3261" w:type="dxa"/>
          </w:tcPr>
          <w:p w14:paraId="3C9AD79B" w14:textId="79FC0D25" w:rsidR="002863ED" w:rsidRPr="00F10D05" w:rsidRDefault="002863ED" w:rsidP="005C3B40">
            <w:pPr>
              <w:spacing w:before="120" w:after="120"/>
              <w:jc w:val="both"/>
              <w:rPr>
                <w:rFonts w:cs="Arial"/>
                <w:sz w:val="20"/>
                <w:szCs w:val="20"/>
                <w:lang w:val="hu-HU"/>
              </w:rPr>
            </w:pPr>
            <w:r w:rsidRPr="00F10D05">
              <w:rPr>
                <w:rFonts w:cs="Arial"/>
                <w:sz w:val="20"/>
                <w:szCs w:val="20"/>
                <w:lang w:val="hu-HU"/>
              </w:rPr>
              <w:lastRenderedPageBreak/>
              <w:t>Termékjellemzők</w:t>
            </w:r>
          </w:p>
        </w:tc>
        <w:tc>
          <w:tcPr>
            <w:tcW w:w="7087" w:type="dxa"/>
          </w:tcPr>
          <w:p w14:paraId="0AF86C8E" w14:textId="5C5AC666" w:rsidR="00AF3764" w:rsidRPr="00AF3764" w:rsidRDefault="00913791" w:rsidP="00AF3764">
            <w:pPr>
              <w:spacing w:after="120"/>
              <w:jc w:val="both"/>
              <w:rPr>
                <w:rFonts w:cs="Arial"/>
                <w:sz w:val="20"/>
                <w:szCs w:val="20"/>
                <w:lang w:val="hu-HU"/>
              </w:rPr>
            </w:pPr>
            <w:r w:rsidRPr="00913791">
              <w:rPr>
                <w:noProof/>
              </w:rPr>
              <w:drawing>
                <wp:anchor distT="0" distB="0" distL="114300" distR="114300" simplePos="0" relativeHeight="251719168" behindDoc="1" locked="0" layoutInCell="1" allowOverlap="1" wp14:anchorId="1AC9A8B8" wp14:editId="39FD2302">
                  <wp:simplePos x="0" y="0"/>
                  <wp:positionH relativeFrom="column">
                    <wp:posOffset>3402330</wp:posOffset>
                  </wp:positionH>
                  <wp:positionV relativeFrom="paragraph">
                    <wp:posOffset>0</wp:posOffset>
                  </wp:positionV>
                  <wp:extent cx="614680" cy="1917065"/>
                  <wp:effectExtent l="0" t="0" r="0" b="6985"/>
                  <wp:wrapTight wrapText="bothSides">
                    <wp:wrapPolygon edited="0">
                      <wp:start x="0" y="0"/>
                      <wp:lineTo x="0" y="21464"/>
                      <wp:lineTo x="20752" y="21464"/>
                      <wp:lineTo x="20752"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14680" cy="1917065"/>
                          </a:xfrm>
                          <a:prstGeom prst="rect">
                            <a:avLst/>
                          </a:prstGeom>
                        </pic:spPr>
                      </pic:pic>
                    </a:graphicData>
                  </a:graphic>
                  <wp14:sizeRelH relativeFrom="margin">
                    <wp14:pctWidth>0</wp14:pctWidth>
                  </wp14:sizeRelH>
                  <wp14:sizeRelV relativeFrom="margin">
                    <wp14:pctHeight>0</wp14:pctHeight>
                  </wp14:sizeRelV>
                </wp:anchor>
              </w:drawing>
            </w:r>
            <w:r w:rsidR="00C151F3" w:rsidRPr="00AF3764">
              <w:rPr>
                <w:rFonts w:cs="Arial"/>
                <w:sz w:val="20"/>
                <w:szCs w:val="20"/>
                <w:lang w:val="hu-HU"/>
              </w:rPr>
              <w:t xml:space="preserve"> </w:t>
            </w:r>
          </w:p>
          <w:p w14:paraId="6E0D1B3A" w14:textId="77777777" w:rsidR="008A14B5" w:rsidRDefault="00AF3764" w:rsidP="00AF3764">
            <w:pPr>
              <w:pStyle w:val="ListParagraph"/>
              <w:numPr>
                <w:ilvl w:val="0"/>
                <w:numId w:val="2"/>
              </w:numPr>
              <w:spacing w:after="120"/>
              <w:ind w:left="714" w:hanging="357"/>
              <w:jc w:val="both"/>
              <w:rPr>
                <w:rFonts w:cs="Arial"/>
                <w:sz w:val="20"/>
                <w:szCs w:val="20"/>
                <w:lang w:val="hu-HU"/>
              </w:rPr>
            </w:pPr>
            <w:r w:rsidRPr="008A14B5">
              <w:rPr>
                <w:rFonts w:cs="Arial"/>
                <w:sz w:val="20"/>
                <w:szCs w:val="20"/>
                <w:lang w:val="hu-HU"/>
              </w:rPr>
              <w:t xml:space="preserve">Megnövelt viasztartalom. </w:t>
            </w:r>
          </w:p>
          <w:p w14:paraId="059F2940" w14:textId="77777777" w:rsidR="008A14B5" w:rsidRDefault="008A14B5" w:rsidP="00AF3764">
            <w:pPr>
              <w:pStyle w:val="ListParagraph"/>
              <w:numPr>
                <w:ilvl w:val="0"/>
                <w:numId w:val="2"/>
              </w:numPr>
              <w:spacing w:after="120"/>
              <w:ind w:left="714" w:hanging="357"/>
              <w:jc w:val="both"/>
              <w:rPr>
                <w:rFonts w:cs="Arial"/>
                <w:sz w:val="20"/>
                <w:szCs w:val="20"/>
                <w:lang w:val="hu-HU"/>
              </w:rPr>
            </w:pPr>
            <w:r w:rsidRPr="008A14B5">
              <w:rPr>
                <w:rFonts w:cs="Arial"/>
                <w:sz w:val="20"/>
                <w:szCs w:val="20"/>
                <w:lang w:val="hu-HU"/>
              </w:rPr>
              <w:t>Könnyedén lepergeti az esőt és a nedves</w:t>
            </w:r>
            <w:r>
              <w:rPr>
                <w:rFonts w:cs="Arial"/>
                <w:sz w:val="20"/>
                <w:szCs w:val="20"/>
                <w:lang w:val="hu-HU"/>
              </w:rPr>
              <w:t xml:space="preserve">séget. </w:t>
            </w:r>
          </w:p>
          <w:p w14:paraId="4464D991" w14:textId="1DB6B735" w:rsidR="00AF3764" w:rsidRPr="008A14B5" w:rsidRDefault="00AF3764" w:rsidP="00AF3764">
            <w:pPr>
              <w:pStyle w:val="ListParagraph"/>
              <w:numPr>
                <w:ilvl w:val="0"/>
                <w:numId w:val="2"/>
              </w:numPr>
              <w:spacing w:after="120"/>
              <w:ind w:left="714" w:hanging="357"/>
              <w:jc w:val="both"/>
              <w:rPr>
                <w:rFonts w:cs="Arial"/>
                <w:sz w:val="20"/>
                <w:szCs w:val="20"/>
                <w:lang w:val="hu-HU"/>
              </w:rPr>
            </w:pPr>
            <w:proofErr w:type="spellStart"/>
            <w:r w:rsidRPr="008A14B5">
              <w:rPr>
                <w:rFonts w:cs="Arial"/>
                <w:sz w:val="20"/>
                <w:szCs w:val="20"/>
                <w:lang w:val="hu-HU"/>
              </w:rPr>
              <w:t>Flexiguard</w:t>
            </w:r>
            <w:proofErr w:type="spellEnd"/>
            <w:r w:rsidRPr="008A14B5">
              <w:rPr>
                <w:rFonts w:cs="Arial"/>
                <w:sz w:val="20"/>
                <w:szCs w:val="20"/>
                <w:lang w:val="hu-HU"/>
              </w:rPr>
              <w:t>: Rugalmas bevonat.</w:t>
            </w:r>
          </w:p>
          <w:p w14:paraId="1909D2C7" w14:textId="77777777" w:rsidR="00AF3764" w:rsidRDefault="00AF3764" w:rsidP="00AF3764">
            <w:pPr>
              <w:pStyle w:val="ListParagraph"/>
              <w:numPr>
                <w:ilvl w:val="0"/>
                <w:numId w:val="2"/>
              </w:numPr>
              <w:spacing w:after="120"/>
              <w:ind w:left="714" w:hanging="357"/>
              <w:jc w:val="both"/>
              <w:rPr>
                <w:rFonts w:cs="Arial"/>
                <w:sz w:val="20"/>
                <w:szCs w:val="20"/>
                <w:lang w:val="hu-HU"/>
              </w:rPr>
            </w:pPr>
            <w:proofErr w:type="spellStart"/>
            <w:r w:rsidRPr="00AF3764">
              <w:rPr>
                <w:rFonts w:cs="Arial"/>
                <w:sz w:val="20"/>
                <w:szCs w:val="20"/>
              </w:rPr>
              <w:t>Ellenáll</w:t>
            </w:r>
            <w:proofErr w:type="spellEnd"/>
            <w:r w:rsidRPr="00AF3764">
              <w:rPr>
                <w:rFonts w:cs="Arial"/>
                <w:sz w:val="20"/>
                <w:szCs w:val="20"/>
              </w:rPr>
              <w:t xml:space="preserve"> a </w:t>
            </w:r>
            <w:proofErr w:type="spellStart"/>
            <w:r w:rsidRPr="00AF3764">
              <w:rPr>
                <w:rFonts w:cs="Arial"/>
                <w:sz w:val="20"/>
                <w:szCs w:val="20"/>
              </w:rPr>
              <w:t>biokorrózióval</w:t>
            </w:r>
            <w:proofErr w:type="spellEnd"/>
            <w:r w:rsidRPr="00AF3764">
              <w:rPr>
                <w:rFonts w:cs="Arial"/>
                <w:sz w:val="20"/>
                <w:szCs w:val="20"/>
              </w:rPr>
              <w:t xml:space="preserve"> </w:t>
            </w:r>
            <w:proofErr w:type="spellStart"/>
            <w:r w:rsidRPr="00AF3764">
              <w:rPr>
                <w:rFonts w:cs="Arial"/>
                <w:sz w:val="20"/>
                <w:szCs w:val="20"/>
              </w:rPr>
              <w:t>szemben</w:t>
            </w:r>
            <w:proofErr w:type="spellEnd"/>
            <w:r w:rsidRPr="00AF3764">
              <w:rPr>
                <w:rFonts w:cs="Arial"/>
                <w:sz w:val="20"/>
                <w:szCs w:val="20"/>
              </w:rPr>
              <w:t>.</w:t>
            </w:r>
          </w:p>
          <w:p w14:paraId="45B8912D" w14:textId="0A5925BF" w:rsidR="00AF3764" w:rsidRPr="00EC4F9D" w:rsidRDefault="00AF3764" w:rsidP="00AF3764">
            <w:pPr>
              <w:pStyle w:val="ListParagraph"/>
              <w:numPr>
                <w:ilvl w:val="0"/>
                <w:numId w:val="2"/>
              </w:numPr>
              <w:spacing w:after="120"/>
              <w:ind w:left="714" w:hanging="357"/>
              <w:jc w:val="both"/>
              <w:rPr>
                <w:rFonts w:cs="Arial"/>
                <w:sz w:val="20"/>
                <w:szCs w:val="20"/>
                <w:lang w:val="hu-HU"/>
              </w:rPr>
            </w:pPr>
            <w:r w:rsidRPr="00EC4F9D">
              <w:rPr>
                <w:rFonts w:cs="Arial"/>
                <w:sz w:val="20"/>
                <w:szCs w:val="20"/>
                <w:lang w:val="hu-HU"/>
              </w:rPr>
              <w:t>Nagyon könnyű alkalmazni, könnyű a felületet felújítani.</w:t>
            </w:r>
          </w:p>
          <w:p w14:paraId="1B4E2795" w14:textId="28E7CD39" w:rsidR="002863ED" w:rsidRPr="00AF3764" w:rsidRDefault="002863ED" w:rsidP="00AF3764">
            <w:pPr>
              <w:spacing w:after="120"/>
              <w:ind w:left="357"/>
              <w:jc w:val="both"/>
              <w:rPr>
                <w:rFonts w:cs="Arial"/>
                <w:sz w:val="20"/>
                <w:szCs w:val="20"/>
                <w:lang w:val="hu-HU"/>
              </w:rPr>
            </w:pPr>
          </w:p>
        </w:tc>
      </w:tr>
      <w:tr w:rsidR="002863ED" w:rsidRPr="00F10D05" w14:paraId="4155E50C" w14:textId="77777777" w:rsidTr="00C91268">
        <w:tc>
          <w:tcPr>
            <w:tcW w:w="10348" w:type="dxa"/>
            <w:gridSpan w:val="2"/>
            <w:shd w:val="clear" w:color="auto" w:fill="000000" w:themeFill="text1"/>
          </w:tcPr>
          <w:p w14:paraId="05BD1186" w14:textId="2BC0CEC8" w:rsidR="002863ED" w:rsidRPr="00214474" w:rsidRDefault="002863ED" w:rsidP="0049466D">
            <w:pPr>
              <w:spacing w:before="120" w:after="120"/>
              <w:jc w:val="center"/>
              <w:rPr>
                <w:rFonts w:cs="Arial"/>
                <w:sz w:val="28"/>
                <w:szCs w:val="28"/>
                <w:lang w:val="hu-HU"/>
              </w:rPr>
            </w:pPr>
            <w:r w:rsidRPr="00214474">
              <w:rPr>
                <w:rFonts w:cs="Arial"/>
                <w:sz w:val="28"/>
                <w:szCs w:val="28"/>
                <w:lang w:val="hu-HU"/>
              </w:rPr>
              <w:t>MŰSZAKI ADATOK</w:t>
            </w:r>
          </w:p>
        </w:tc>
      </w:tr>
      <w:tr w:rsidR="002863ED" w:rsidRPr="00F10D05" w14:paraId="15134802" w14:textId="77777777" w:rsidTr="002863ED">
        <w:tc>
          <w:tcPr>
            <w:tcW w:w="3261" w:type="dxa"/>
          </w:tcPr>
          <w:p w14:paraId="51D73903" w14:textId="79F0B72B" w:rsidR="002863ED" w:rsidRPr="00F10D05" w:rsidRDefault="002863ED" w:rsidP="00304D85">
            <w:pPr>
              <w:spacing w:before="120" w:after="120"/>
              <w:jc w:val="both"/>
              <w:rPr>
                <w:rFonts w:cs="Arial"/>
                <w:sz w:val="20"/>
                <w:szCs w:val="20"/>
                <w:lang w:val="hu-HU"/>
              </w:rPr>
            </w:pPr>
            <w:r w:rsidRPr="00F10D05">
              <w:rPr>
                <w:rFonts w:cs="Arial"/>
                <w:sz w:val="20"/>
                <w:szCs w:val="20"/>
                <w:lang w:val="hu-HU"/>
              </w:rPr>
              <w:t>Fényesség</w:t>
            </w:r>
          </w:p>
        </w:tc>
        <w:tc>
          <w:tcPr>
            <w:tcW w:w="7087" w:type="dxa"/>
          </w:tcPr>
          <w:p w14:paraId="48B2F950" w14:textId="220DEC60" w:rsidR="002863ED" w:rsidRPr="00F10D05" w:rsidRDefault="002863ED" w:rsidP="00304D85">
            <w:pPr>
              <w:spacing w:before="120" w:after="120"/>
              <w:jc w:val="both"/>
              <w:rPr>
                <w:rFonts w:cs="Arial"/>
                <w:color w:val="FFFFFF" w:themeColor="background1"/>
                <w:sz w:val="20"/>
                <w:szCs w:val="20"/>
                <w:lang w:val="hu-HU"/>
              </w:rPr>
            </w:pPr>
            <w:r w:rsidRPr="00F10D05">
              <w:rPr>
                <w:rFonts w:cs="Arial"/>
                <w:sz w:val="20"/>
                <w:szCs w:val="20"/>
                <w:lang w:val="hu-HU"/>
              </w:rPr>
              <w:t>selyemfényű</w:t>
            </w:r>
          </w:p>
        </w:tc>
      </w:tr>
      <w:tr w:rsidR="002863ED" w:rsidRPr="00F10D05" w14:paraId="153346BA" w14:textId="77777777" w:rsidTr="002863ED">
        <w:tc>
          <w:tcPr>
            <w:tcW w:w="3261" w:type="dxa"/>
          </w:tcPr>
          <w:p w14:paraId="0ABEE492" w14:textId="22AFF01F" w:rsidR="002863ED" w:rsidRPr="00F10D05" w:rsidRDefault="002863ED" w:rsidP="00304D85">
            <w:pPr>
              <w:spacing w:before="120" w:after="120"/>
              <w:jc w:val="both"/>
              <w:rPr>
                <w:rFonts w:cs="Arial"/>
                <w:sz w:val="20"/>
                <w:szCs w:val="20"/>
                <w:lang w:val="hu-HU"/>
              </w:rPr>
            </w:pPr>
            <w:r w:rsidRPr="00F10D05">
              <w:rPr>
                <w:rFonts w:cs="Arial"/>
                <w:sz w:val="20"/>
                <w:szCs w:val="20"/>
                <w:lang w:val="hu-HU"/>
              </w:rPr>
              <w:t>VOC</w:t>
            </w:r>
          </w:p>
        </w:tc>
        <w:tc>
          <w:tcPr>
            <w:tcW w:w="7087" w:type="dxa"/>
          </w:tcPr>
          <w:p w14:paraId="58537819" w14:textId="2EC70C95" w:rsidR="002863ED" w:rsidRPr="00F10D05" w:rsidRDefault="002863ED" w:rsidP="00304D85">
            <w:pPr>
              <w:spacing w:before="120" w:after="120"/>
              <w:jc w:val="both"/>
              <w:rPr>
                <w:rFonts w:cs="Arial"/>
                <w:color w:val="FFFFFF" w:themeColor="background1"/>
                <w:sz w:val="20"/>
                <w:szCs w:val="20"/>
                <w:lang w:val="hu-HU"/>
              </w:rPr>
            </w:pPr>
            <w:r w:rsidRPr="00F10D05">
              <w:rPr>
                <w:rFonts w:cs="Arial"/>
                <w:sz w:val="20"/>
                <w:szCs w:val="20"/>
                <w:lang w:val="hu-HU"/>
              </w:rPr>
              <w:t xml:space="preserve">EU határérték a termékre: (kat.: A/e-OB 400 g/Liter (2010). A termék </w:t>
            </w:r>
            <w:r w:rsidR="00F11AB3" w:rsidRPr="00F10D05">
              <w:rPr>
                <w:rFonts w:cs="Arial"/>
                <w:sz w:val="20"/>
                <w:szCs w:val="20"/>
                <w:lang w:val="hu-HU"/>
              </w:rPr>
              <w:t xml:space="preserve">legfeljebb </w:t>
            </w:r>
            <w:r w:rsidR="00BA3427" w:rsidRPr="00F10D05">
              <w:rPr>
                <w:rFonts w:cs="Arial"/>
                <w:sz w:val="20"/>
                <w:szCs w:val="20"/>
                <w:lang w:val="hu-HU"/>
              </w:rPr>
              <w:t>399</w:t>
            </w:r>
            <w:r w:rsidRPr="00F10D05">
              <w:rPr>
                <w:rFonts w:cs="Arial"/>
                <w:sz w:val="20"/>
                <w:szCs w:val="20"/>
                <w:lang w:val="hu-HU"/>
              </w:rPr>
              <w:t xml:space="preserve"> g/Liter VOC-t tartalmaz.</w:t>
            </w:r>
          </w:p>
        </w:tc>
      </w:tr>
      <w:tr w:rsidR="003467EB" w:rsidRPr="00F10D05" w14:paraId="5DA177E7" w14:textId="77777777" w:rsidTr="002863ED">
        <w:tc>
          <w:tcPr>
            <w:tcW w:w="3261" w:type="dxa"/>
          </w:tcPr>
          <w:p w14:paraId="2FD646E1" w14:textId="0B4B275D" w:rsidR="003467EB" w:rsidRPr="00F10D05" w:rsidRDefault="003467EB" w:rsidP="00304D85">
            <w:pPr>
              <w:spacing w:before="120" w:after="120"/>
              <w:jc w:val="both"/>
              <w:rPr>
                <w:rFonts w:cs="Arial"/>
                <w:sz w:val="20"/>
                <w:szCs w:val="20"/>
                <w:lang w:val="hu-HU"/>
              </w:rPr>
            </w:pPr>
            <w:r w:rsidRPr="00F10D05">
              <w:rPr>
                <w:rFonts w:cs="Arial"/>
                <w:sz w:val="20"/>
                <w:szCs w:val="20"/>
                <w:lang w:val="hu-HU"/>
              </w:rPr>
              <w:t>Színválaszték</w:t>
            </w:r>
          </w:p>
        </w:tc>
        <w:tc>
          <w:tcPr>
            <w:tcW w:w="7087" w:type="dxa"/>
          </w:tcPr>
          <w:p w14:paraId="4A69F324" w14:textId="346B2383" w:rsidR="003467EB" w:rsidRPr="00F10D05" w:rsidRDefault="005F282A" w:rsidP="00304D85">
            <w:pPr>
              <w:spacing w:before="120" w:after="120"/>
              <w:jc w:val="both"/>
              <w:rPr>
                <w:rFonts w:cs="Arial"/>
                <w:sz w:val="20"/>
                <w:szCs w:val="20"/>
                <w:lang w:val="hu-HU"/>
              </w:rPr>
            </w:pPr>
            <w:r w:rsidRPr="00F10D05">
              <w:rPr>
                <w:rFonts w:cs="Arial"/>
                <w:sz w:val="20"/>
                <w:szCs w:val="20"/>
                <w:lang w:val="hu-HU"/>
              </w:rPr>
              <w:t>Színtelen</w:t>
            </w:r>
          </w:p>
        </w:tc>
      </w:tr>
      <w:tr w:rsidR="007F4B18" w:rsidRPr="00F10D05" w14:paraId="157C7F52" w14:textId="77777777" w:rsidTr="002863ED">
        <w:tc>
          <w:tcPr>
            <w:tcW w:w="3261" w:type="dxa"/>
          </w:tcPr>
          <w:p w14:paraId="06B06FF2" w14:textId="7FC1F9BA" w:rsidR="007F4B18" w:rsidRPr="00F10D05" w:rsidRDefault="007F4B18" w:rsidP="00304D85">
            <w:pPr>
              <w:spacing w:before="120" w:after="120"/>
              <w:jc w:val="both"/>
              <w:rPr>
                <w:rFonts w:cs="Arial"/>
                <w:sz w:val="20"/>
                <w:szCs w:val="20"/>
                <w:lang w:val="hu-HU"/>
              </w:rPr>
            </w:pPr>
            <w:r w:rsidRPr="00F10D05">
              <w:rPr>
                <w:rFonts w:cs="Arial"/>
                <w:sz w:val="20"/>
                <w:szCs w:val="20"/>
                <w:lang w:val="hu-HU"/>
              </w:rPr>
              <w:t>Kiszerelés</w:t>
            </w:r>
          </w:p>
        </w:tc>
        <w:tc>
          <w:tcPr>
            <w:tcW w:w="7087" w:type="dxa"/>
          </w:tcPr>
          <w:p w14:paraId="39C3540E" w14:textId="568AEE41" w:rsidR="007F4B18" w:rsidRPr="00F10D05" w:rsidRDefault="007F4B18" w:rsidP="00304D85">
            <w:pPr>
              <w:spacing w:before="120" w:after="120"/>
              <w:rPr>
                <w:rFonts w:cs="Arial"/>
                <w:sz w:val="20"/>
                <w:szCs w:val="20"/>
                <w:lang w:val="hu-HU"/>
              </w:rPr>
            </w:pPr>
            <w:r w:rsidRPr="00F10D05">
              <w:rPr>
                <w:rFonts w:cs="Arial"/>
                <w:sz w:val="20"/>
                <w:szCs w:val="20"/>
                <w:lang w:val="hu-HU"/>
              </w:rPr>
              <w:t>0,75L; 2,5L;</w:t>
            </w:r>
          </w:p>
        </w:tc>
      </w:tr>
      <w:tr w:rsidR="002863ED" w:rsidRPr="00F10D05" w14:paraId="7D58A586" w14:textId="77777777" w:rsidTr="002863ED">
        <w:tc>
          <w:tcPr>
            <w:tcW w:w="3261" w:type="dxa"/>
          </w:tcPr>
          <w:p w14:paraId="4B2E376E" w14:textId="529BA6B5" w:rsidR="002863ED" w:rsidRPr="00F10D05" w:rsidRDefault="002863ED" w:rsidP="00304D85">
            <w:pPr>
              <w:spacing w:before="120" w:after="120"/>
              <w:jc w:val="both"/>
              <w:rPr>
                <w:rFonts w:cs="Arial"/>
                <w:sz w:val="20"/>
                <w:szCs w:val="20"/>
                <w:lang w:val="hu-HU"/>
              </w:rPr>
            </w:pPr>
            <w:r w:rsidRPr="00F10D05">
              <w:rPr>
                <w:rFonts w:cs="Arial"/>
                <w:sz w:val="20"/>
                <w:szCs w:val="20"/>
                <w:lang w:val="hu-HU"/>
              </w:rPr>
              <w:t>Száradási idő</w:t>
            </w:r>
          </w:p>
        </w:tc>
        <w:tc>
          <w:tcPr>
            <w:tcW w:w="7087" w:type="dxa"/>
          </w:tcPr>
          <w:p w14:paraId="3A3BAB7D" w14:textId="65BAB31B" w:rsidR="00FA7B27" w:rsidRPr="00F10D05" w:rsidRDefault="008F65EE" w:rsidP="000E02D3">
            <w:pPr>
              <w:spacing w:before="120" w:after="120"/>
              <w:jc w:val="both"/>
              <w:rPr>
                <w:rFonts w:cs="Arial"/>
                <w:sz w:val="20"/>
                <w:szCs w:val="20"/>
                <w:lang w:val="hu-HU"/>
              </w:rPr>
            </w:pPr>
            <w:r w:rsidRPr="00F10D05">
              <w:rPr>
                <w:rFonts w:cs="Arial"/>
                <w:sz w:val="20"/>
                <w:szCs w:val="20"/>
                <w:lang w:val="hu-HU"/>
              </w:rPr>
              <w:t>Száradási idő: 2</w:t>
            </w:r>
            <w:r w:rsidR="0049570D">
              <w:rPr>
                <w:rFonts w:cs="Arial"/>
                <w:sz w:val="20"/>
                <w:szCs w:val="20"/>
                <w:lang w:val="hu-HU"/>
              </w:rPr>
              <w:t>3</w:t>
            </w:r>
            <w:r w:rsidRPr="00F10D05">
              <w:rPr>
                <w:rFonts w:cs="Arial"/>
                <w:sz w:val="20"/>
                <w:szCs w:val="20"/>
                <w:lang w:val="hu-HU"/>
              </w:rPr>
              <w:t xml:space="preserve">°C/65% relatív páratartalom mellett: </w:t>
            </w:r>
            <w:r w:rsidR="0049570D">
              <w:rPr>
                <w:rFonts w:cs="Arial"/>
                <w:sz w:val="20"/>
                <w:szCs w:val="20"/>
                <w:lang w:val="hu-HU"/>
              </w:rPr>
              <w:t>17 óra</w:t>
            </w:r>
          </w:p>
          <w:p w14:paraId="5D9DA826" w14:textId="4FBF6709" w:rsidR="00E26274" w:rsidRPr="00F10D05" w:rsidRDefault="002072AD" w:rsidP="000E02D3">
            <w:pPr>
              <w:spacing w:before="120" w:after="120"/>
              <w:jc w:val="both"/>
              <w:rPr>
                <w:rFonts w:cs="Arial"/>
                <w:sz w:val="20"/>
                <w:szCs w:val="20"/>
                <w:lang w:val="hu-HU"/>
              </w:rPr>
            </w:pPr>
            <w:r>
              <w:rPr>
                <w:rFonts w:cs="Arial"/>
                <w:sz w:val="20"/>
                <w:szCs w:val="20"/>
                <w:lang w:val="hu-HU"/>
              </w:rPr>
              <w:t xml:space="preserve">Száradási idő: </w:t>
            </w:r>
            <w:r w:rsidR="0049570D">
              <w:rPr>
                <w:rFonts w:cs="Arial"/>
                <w:sz w:val="20"/>
                <w:szCs w:val="20"/>
                <w:lang w:val="hu-HU"/>
              </w:rPr>
              <w:t>16-24</w:t>
            </w:r>
            <w:r w:rsidR="008F65EE" w:rsidRPr="00F10D05">
              <w:rPr>
                <w:rFonts w:cs="Arial"/>
                <w:sz w:val="20"/>
                <w:szCs w:val="20"/>
                <w:lang w:val="hu-HU"/>
              </w:rPr>
              <w:t xml:space="preserve"> óra, a fa porozitásától, a hőmérséklettől és a légnedvességtől függően. Alacsony hőmérsékleten vagy magas páratartalom mellett a szárítási id</w:t>
            </w:r>
            <w:r w:rsidR="004163E1" w:rsidRPr="00F10D05">
              <w:rPr>
                <w:rFonts w:cs="Arial"/>
                <w:sz w:val="20"/>
                <w:szCs w:val="20"/>
                <w:lang w:val="hu-HU"/>
              </w:rPr>
              <w:t>ő</w:t>
            </w:r>
            <w:r w:rsidR="008F65EE" w:rsidRPr="00F10D05">
              <w:rPr>
                <w:rFonts w:cs="Arial"/>
                <w:sz w:val="20"/>
                <w:szCs w:val="20"/>
                <w:lang w:val="hu-HU"/>
              </w:rPr>
              <w:t xml:space="preserve"> meghosszabbodhat. </w:t>
            </w:r>
          </w:p>
          <w:p w14:paraId="47114A35" w14:textId="502EA15F" w:rsidR="00BF7A5D" w:rsidRPr="00F10D05" w:rsidRDefault="008F65EE" w:rsidP="000E02D3">
            <w:pPr>
              <w:spacing w:before="120" w:after="120"/>
              <w:jc w:val="both"/>
              <w:rPr>
                <w:rFonts w:cs="Arial"/>
                <w:sz w:val="20"/>
                <w:szCs w:val="20"/>
                <w:lang w:val="hu-HU"/>
              </w:rPr>
            </w:pPr>
            <w:r w:rsidRPr="00F10D05">
              <w:rPr>
                <w:rFonts w:cs="Arial"/>
                <w:sz w:val="20"/>
                <w:szCs w:val="20"/>
                <w:lang w:val="hu-HU"/>
              </w:rPr>
              <w:t xml:space="preserve">Megjegyzés: Az </w:t>
            </w:r>
            <w:proofErr w:type="spellStart"/>
            <w:r w:rsidRPr="00F10D05">
              <w:rPr>
                <w:rFonts w:cs="Arial"/>
                <w:sz w:val="20"/>
                <w:szCs w:val="20"/>
                <w:lang w:val="hu-HU"/>
              </w:rPr>
              <w:t>átvonhatósági</w:t>
            </w:r>
            <w:proofErr w:type="spellEnd"/>
            <w:r w:rsidRPr="00F10D05">
              <w:rPr>
                <w:rFonts w:cs="Arial"/>
                <w:sz w:val="20"/>
                <w:szCs w:val="20"/>
                <w:lang w:val="hu-HU"/>
              </w:rPr>
              <w:t xml:space="preserve"> idő függ a</w:t>
            </w:r>
            <w:r w:rsidR="002072AD">
              <w:rPr>
                <w:rFonts w:cs="Arial"/>
                <w:sz w:val="20"/>
                <w:szCs w:val="20"/>
                <w:lang w:val="hu-HU"/>
              </w:rPr>
              <w:t xml:space="preserve"> </w:t>
            </w:r>
            <w:r w:rsidRPr="00F10D05">
              <w:rPr>
                <w:rFonts w:cs="Arial"/>
                <w:sz w:val="20"/>
                <w:szCs w:val="20"/>
                <w:lang w:val="hu-HU"/>
              </w:rPr>
              <w:t>fa fajtájától és a festési körülményekt</w:t>
            </w:r>
            <w:r w:rsidR="004163E1" w:rsidRPr="00F10D05">
              <w:rPr>
                <w:rFonts w:cs="Arial"/>
                <w:sz w:val="20"/>
                <w:szCs w:val="20"/>
                <w:lang w:val="hu-HU"/>
              </w:rPr>
              <w:t>ő</w:t>
            </w:r>
            <w:r w:rsidRPr="00F10D05">
              <w:rPr>
                <w:rFonts w:cs="Arial"/>
                <w:sz w:val="20"/>
                <w:szCs w:val="20"/>
                <w:lang w:val="hu-HU"/>
              </w:rPr>
              <w:t xml:space="preserve">l. Puhafa felületeken az anyag könnyebben beszívódik és a bevonat gyorsabban szárad. Keményfa felületeken a száradási folyamat hosszabb ideig tarthat. </w:t>
            </w:r>
          </w:p>
        </w:tc>
      </w:tr>
      <w:tr w:rsidR="002863ED" w:rsidRPr="00F10D05" w14:paraId="0DD29877" w14:textId="77777777" w:rsidTr="002863ED">
        <w:tc>
          <w:tcPr>
            <w:tcW w:w="3261" w:type="dxa"/>
          </w:tcPr>
          <w:p w14:paraId="4CD2F074" w14:textId="3857589A" w:rsidR="002863ED" w:rsidRPr="00F10D05" w:rsidRDefault="002863ED" w:rsidP="009A3BB5">
            <w:pPr>
              <w:spacing w:before="120" w:after="120"/>
              <w:jc w:val="both"/>
              <w:rPr>
                <w:rFonts w:cs="Arial"/>
                <w:sz w:val="20"/>
                <w:szCs w:val="20"/>
                <w:lang w:val="hu-HU"/>
              </w:rPr>
            </w:pPr>
            <w:r w:rsidRPr="00F10D05">
              <w:rPr>
                <w:rFonts w:cs="Arial"/>
                <w:sz w:val="20"/>
                <w:szCs w:val="20"/>
                <w:lang w:val="hu-HU"/>
              </w:rPr>
              <w:t>Kiadósság</w:t>
            </w:r>
          </w:p>
        </w:tc>
        <w:tc>
          <w:tcPr>
            <w:tcW w:w="7087" w:type="dxa"/>
          </w:tcPr>
          <w:p w14:paraId="18CE4171" w14:textId="77777777" w:rsidR="00DC2104" w:rsidRPr="00EC4F9D" w:rsidRDefault="00DC2104" w:rsidP="00DC2104">
            <w:pPr>
              <w:spacing w:before="120" w:after="120"/>
              <w:jc w:val="both"/>
              <w:rPr>
                <w:rFonts w:cs="Arial"/>
                <w:sz w:val="20"/>
                <w:szCs w:val="20"/>
                <w:lang w:val="hu-HU"/>
              </w:rPr>
            </w:pPr>
            <w:r w:rsidRPr="00EC4F9D">
              <w:rPr>
                <w:rFonts w:cs="Arial"/>
                <w:sz w:val="20"/>
                <w:szCs w:val="20"/>
                <w:lang w:val="hu-HU"/>
              </w:rPr>
              <w:t xml:space="preserve">Gyalult fa: 12-15 m²/L; </w:t>
            </w:r>
          </w:p>
          <w:p w14:paraId="3BB1510F" w14:textId="77777777" w:rsidR="00DC2104" w:rsidRPr="00EC4F9D" w:rsidRDefault="00DC2104" w:rsidP="00DC2104">
            <w:pPr>
              <w:spacing w:before="120" w:after="120"/>
              <w:jc w:val="both"/>
              <w:rPr>
                <w:rFonts w:cs="Arial"/>
                <w:sz w:val="20"/>
                <w:szCs w:val="20"/>
                <w:lang w:val="hu-HU"/>
              </w:rPr>
            </w:pPr>
            <w:r w:rsidRPr="00EC4F9D">
              <w:rPr>
                <w:rFonts w:cs="Arial"/>
                <w:sz w:val="20"/>
                <w:szCs w:val="20"/>
                <w:lang w:val="hu-HU"/>
              </w:rPr>
              <w:t>Gyalult keményfánál: 17</w:t>
            </w:r>
            <w:r w:rsidRPr="00EC4F9D">
              <w:rPr>
                <w:rFonts w:ascii="Cambria Math" w:hAnsi="Cambria Math" w:cs="Cambria Math"/>
                <w:sz w:val="20"/>
                <w:szCs w:val="20"/>
                <w:lang w:val="hu-HU"/>
              </w:rPr>
              <w:t>‐</w:t>
            </w:r>
            <w:r w:rsidRPr="00EC4F9D">
              <w:rPr>
                <w:rFonts w:cs="Arial"/>
                <w:sz w:val="20"/>
                <w:szCs w:val="20"/>
                <w:lang w:val="hu-HU"/>
              </w:rPr>
              <w:t>20 m2/L/réteg</w:t>
            </w:r>
          </w:p>
          <w:p w14:paraId="535F65D6" w14:textId="1C7F9174" w:rsidR="002863ED" w:rsidRPr="00DC2104" w:rsidRDefault="00DC2104" w:rsidP="00DC2104">
            <w:pPr>
              <w:spacing w:before="120" w:after="120"/>
              <w:jc w:val="both"/>
              <w:rPr>
                <w:rFonts w:cs="Arial"/>
                <w:sz w:val="20"/>
                <w:szCs w:val="20"/>
                <w:lang w:val="hu-HU"/>
              </w:rPr>
            </w:pPr>
            <w:r w:rsidRPr="00DC2104">
              <w:rPr>
                <w:rFonts w:cs="Arial"/>
                <w:sz w:val="20"/>
                <w:szCs w:val="20"/>
                <w:lang w:val="hu-HU"/>
              </w:rPr>
              <w:t>Durva, fűrészelt fánál: 6-8 m²/L</w:t>
            </w:r>
          </w:p>
        </w:tc>
      </w:tr>
      <w:tr w:rsidR="002863ED" w:rsidRPr="00F10D05" w14:paraId="244AE919" w14:textId="77777777" w:rsidTr="002863ED">
        <w:tc>
          <w:tcPr>
            <w:tcW w:w="3261" w:type="dxa"/>
          </w:tcPr>
          <w:p w14:paraId="2EA3D29F" w14:textId="760D5875" w:rsidR="002863ED" w:rsidRPr="00F10D05" w:rsidRDefault="002863ED" w:rsidP="009A3BB5">
            <w:pPr>
              <w:spacing w:before="120" w:after="120"/>
              <w:jc w:val="both"/>
              <w:rPr>
                <w:rFonts w:cs="Arial"/>
                <w:sz w:val="20"/>
                <w:szCs w:val="20"/>
                <w:lang w:val="hu-HU"/>
              </w:rPr>
            </w:pPr>
            <w:r w:rsidRPr="00F10D05">
              <w:rPr>
                <w:rFonts w:cs="Arial"/>
                <w:sz w:val="20"/>
                <w:szCs w:val="20"/>
                <w:lang w:val="hu-HU"/>
              </w:rPr>
              <w:t>Rétegek száma</w:t>
            </w:r>
          </w:p>
        </w:tc>
        <w:tc>
          <w:tcPr>
            <w:tcW w:w="7087" w:type="dxa"/>
          </w:tcPr>
          <w:p w14:paraId="5DD3E026" w14:textId="78E07958" w:rsidR="002863ED" w:rsidRPr="00F10D05" w:rsidRDefault="002863ED" w:rsidP="000E02D3">
            <w:pPr>
              <w:spacing w:before="120" w:after="120"/>
              <w:jc w:val="both"/>
              <w:rPr>
                <w:rFonts w:cs="Arial"/>
                <w:sz w:val="20"/>
                <w:szCs w:val="20"/>
                <w:lang w:val="hu-HU"/>
              </w:rPr>
            </w:pPr>
            <w:r w:rsidRPr="00F10D05">
              <w:rPr>
                <w:rFonts w:cs="Arial"/>
                <w:sz w:val="20"/>
                <w:szCs w:val="20"/>
                <w:lang w:val="hu-HU"/>
              </w:rPr>
              <w:t xml:space="preserve">2 </w:t>
            </w:r>
            <w:r w:rsidR="002300DA" w:rsidRPr="00F10D05">
              <w:rPr>
                <w:rFonts w:cs="Arial"/>
                <w:sz w:val="20"/>
                <w:szCs w:val="20"/>
                <w:lang w:val="hu-HU"/>
              </w:rPr>
              <w:t xml:space="preserve">réteg. Fokozott igénybevételnek kitett helyeken </w:t>
            </w:r>
            <w:r w:rsidR="00845416" w:rsidRPr="00F10D05">
              <w:rPr>
                <w:rFonts w:cs="Arial"/>
                <w:sz w:val="20"/>
                <w:szCs w:val="20"/>
                <w:lang w:val="hu-HU"/>
              </w:rPr>
              <w:t xml:space="preserve">3 </w:t>
            </w:r>
            <w:r w:rsidRPr="00F10D05">
              <w:rPr>
                <w:rFonts w:cs="Arial"/>
                <w:sz w:val="20"/>
                <w:szCs w:val="20"/>
                <w:lang w:val="hu-HU"/>
              </w:rPr>
              <w:t>réteg</w:t>
            </w:r>
            <w:r w:rsidR="002300DA" w:rsidRPr="00F10D05">
              <w:rPr>
                <w:rFonts w:cs="Arial"/>
                <w:sz w:val="20"/>
                <w:szCs w:val="20"/>
                <w:lang w:val="hu-HU"/>
              </w:rPr>
              <w:t>.</w:t>
            </w:r>
          </w:p>
        </w:tc>
      </w:tr>
      <w:tr w:rsidR="002863ED" w:rsidRPr="00F10D05" w14:paraId="6D5665F0" w14:textId="77777777" w:rsidTr="002863ED">
        <w:tc>
          <w:tcPr>
            <w:tcW w:w="3261" w:type="dxa"/>
          </w:tcPr>
          <w:p w14:paraId="189916EE" w14:textId="2D0EE066" w:rsidR="002863ED" w:rsidRPr="00F10D05" w:rsidRDefault="002863ED" w:rsidP="009A3BB5">
            <w:pPr>
              <w:spacing w:before="120" w:after="120"/>
              <w:jc w:val="both"/>
              <w:rPr>
                <w:rFonts w:cs="Arial"/>
                <w:sz w:val="20"/>
                <w:szCs w:val="20"/>
                <w:lang w:val="hu-HU"/>
              </w:rPr>
            </w:pPr>
            <w:r w:rsidRPr="00F10D05">
              <w:rPr>
                <w:rFonts w:cs="Arial"/>
                <w:sz w:val="20"/>
                <w:szCs w:val="20"/>
                <w:lang w:val="hu-HU"/>
              </w:rPr>
              <w:t>Felhordási mód</w:t>
            </w:r>
          </w:p>
        </w:tc>
        <w:tc>
          <w:tcPr>
            <w:tcW w:w="7087" w:type="dxa"/>
          </w:tcPr>
          <w:p w14:paraId="441178DC" w14:textId="3D90C64E" w:rsidR="002863ED" w:rsidRPr="00F10D05" w:rsidRDefault="00D64C30" w:rsidP="009A3BB5">
            <w:pPr>
              <w:spacing w:before="120" w:after="120"/>
              <w:jc w:val="both"/>
              <w:rPr>
                <w:rFonts w:cs="Arial"/>
                <w:sz w:val="20"/>
                <w:szCs w:val="20"/>
                <w:lang w:val="hu-HU"/>
              </w:rPr>
            </w:pPr>
            <w:r w:rsidRPr="00F10D05">
              <w:rPr>
                <w:rFonts w:cs="Arial"/>
                <w:sz w:val="20"/>
                <w:szCs w:val="20"/>
                <w:lang w:val="hu-HU"/>
              </w:rPr>
              <w:t xml:space="preserve">Ecsettel vagy </w:t>
            </w:r>
            <w:r w:rsidR="00845416" w:rsidRPr="00F10D05">
              <w:rPr>
                <w:rFonts w:cs="Arial"/>
                <w:sz w:val="20"/>
                <w:szCs w:val="20"/>
                <w:lang w:val="hu-HU"/>
              </w:rPr>
              <w:t>hengerrel</w:t>
            </w:r>
            <w:r w:rsidRPr="00F10D05">
              <w:rPr>
                <w:rFonts w:cs="Arial"/>
                <w:sz w:val="20"/>
                <w:szCs w:val="20"/>
                <w:lang w:val="hu-HU"/>
              </w:rPr>
              <w:t>.</w:t>
            </w:r>
          </w:p>
        </w:tc>
      </w:tr>
      <w:tr w:rsidR="002863ED" w:rsidRPr="00F10D05" w14:paraId="087E0E83" w14:textId="77777777" w:rsidTr="002863ED">
        <w:tc>
          <w:tcPr>
            <w:tcW w:w="3261" w:type="dxa"/>
          </w:tcPr>
          <w:p w14:paraId="230589F1" w14:textId="20EB322D" w:rsidR="002863ED" w:rsidRPr="00F10D05" w:rsidRDefault="002863ED" w:rsidP="009A3BB5">
            <w:pPr>
              <w:spacing w:before="120" w:after="120"/>
              <w:jc w:val="both"/>
              <w:rPr>
                <w:rFonts w:cs="Arial"/>
                <w:sz w:val="20"/>
                <w:szCs w:val="20"/>
                <w:lang w:val="hu-HU"/>
              </w:rPr>
            </w:pPr>
            <w:r w:rsidRPr="00F10D05">
              <w:rPr>
                <w:rFonts w:cs="Arial"/>
                <w:sz w:val="20"/>
                <w:szCs w:val="20"/>
                <w:lang w:val="hu-HU"/>
              </w:rPr>
              <w:t>Hígítás</w:t>
            </w:r>
          </w:p>
        </w:tc>
        <w:tc>
          <w:tcPr>
            <w:tcW w:w="7087" w:type="dxa"/>
          </w:tcPr>
          <w:p w14:paraId="26899DF9" w14:textId="64FBE348" w:rsidR="002863ED" w:rsidRPr="00F10D05" w:rsidRDefault="00536639" w:rsidP="009A3BB5">
            <w:pPr>
              <w:spacing w:before="120" w:after="120"/>
              <w:jc w:val="both"/>
              <w:rPr>
                <w:rFonts w:cs="Arial"/>
                <w:sz w:val="20"/>
                <w:szCs w:val="20"/>
                <w:lang w:val="hu-HU"/>
              </w:rPr>
            </w:pPr>
            <w:r w:rsidRPr="00F10D05">
              <w:rPr>
                <w:rFonts w:cs="Arial"/>
                <w:sz w:val="20"/>
                <w:szCs w:val="20"/>
                <w:lang w:val="hu-HU"/>
              </w:rPr>
              <w:t xml:space="preserve">A Sadolin Extra felhasználásra kész, hígítani nem szükséges. </w:t>
            </w:r>
          </w:p>
        </w:tc>
      </w:tr>
      <w:tr w:rsidR="002863ED" w:rsidRPr="00F10D05" w14:paraId="3565CF2C" w14:textId="77777777" w:rsidTr="002863ED">
        <w:tc>
          <w:tcPr>
            <w:tcW w:w="3261" w:type="dxa"/>
          </w:tcPr>
          <w:p w14:paraId="1CFDC887" w14:textId="1D02E28E" w:rsidR="002863ED" w:rsidRPr="00F10D05" w:rsidRDefault="002863ED" w:rsidP="009A3BB5">
            <w:pPr>
              <w:spacing w:before="120" w:after="120"/>
              <w:jc w:val="both"/>
              <w:rPr>
                <w:rFonts w:cs="Arial"/>
                <w:sz w:val="20"/>
                <w:szCs w:val="20"/>
                <w:lang w:val="hu-HU"/>
              </w:rPr>
            </w:pPr>
            <w:r w:rsidRPr="00F10D05">
              <w:rPr>
                <w:rFonts w:cs="Arial"/>
                <w:sz w:val="20"/>
                <w:szCs w:val="20"/>
                <w:lang w:val="hu-HU"/>
              </w:rPr>
              <w:t>Eszközök tisztítása</w:t>
            </w:r>
          </w:p>
        </w:tc>
        <w:tc>
          <w:tcPr>
            <w:tcW w:w="7087" w:type="dxa"/>
          </w:tcPr>
          <w:p w14:paraId="4F02B1A4" w14:textId="29DD5EA6" w:rsidR="002863ED" w:rsidRPr="00F10D05" w:rsidRDefault="002863ED" w:rsidP="009A3BB5">
            <w:pPr>
              <w:spacing w:before="120" w:after="120"/>
              <w:jc w:val="both"/>
              <w:rPr>
                <w:rFonts w:cs="Arial"/>
                <w:sz w:val="20"/>
                <w:szCs w:val="20"/>
                <w:lang w:val="hu-HU"/>
              </w:rPr>
            </w:pPr>
            <w:r w:rsidRPr="00F10D05">
              <w:rPr>
                <w:rFonts w:cs="Arial"/>
                <w:sz w:val="20"/>
                <w:szCs w:val="20"/>
                <w:lang w:val="hu-HU"/>
              </w:rPr>
              <w:t>H-100 szintetikus hígító</w:t>
            </w:r>
          </w:p>
        </w:tc>
      </w:tr>
      <w:tr w:rsidR="002863ED" w:rsidRPr="00F10D05" w14:paraId="37D08326" w14:textId="77777777" w:rsidTr="002863ED">
        <w:tc>
          <w:tcPr>
            <w:tcW w:w="3261" w:type="dxa"/>
          </w:tcPr>
          <w:p w14:paraId="16913FDC" w14:textId="1B174A6C" w:rsidR="002863ED" w:rsidRPr="00F10D05" w:rsidRDefault="002863ED" w:rsidP="009A3BB5">
            <w:pPr>
              <w:spacing w:before="120" w:after="120"/>
              <w:jc w:val="both"/>
              <w:rPr>
                <w:rFonts w:cs="Arial"/>
                <w:sz w:val="20"/>
                <w:szCs w:val="20"/>
                <w:lang w:val="hu-HU"/>
              </w:rPr>
            </w:pPr>
            <w:r w:rsidRPr="00F10D05">
              <w:rPr>
                <w:rFonts w:cs="Arial"/>
                <w:sz w:val="20"/>
                <w:szCs w:val="20"/>
                <w:lang w:val="hu-HU"/>
              </w:rPr>
              <w:t>Minőségmegőrzési idő</w:t>
            </w:r>
          </w:p>
        </w:tc>
        <w:tc>
          <w:tcPr>
            <w:tcW w:w="7087" w:type="dxa"/>
          </w:tcPr>
          <w:p w14:paraId="5D4B9643" w14:textId="1CB9034E" w:rsidR="002863ED" w:rsidRPr="00F10D05" w:rsidRDefault="002863ED" w:rsidP="009A3BB5">
            <w:pPr>
              <w:spacing w:before="120" w:after="120"/>
              <w:jc w:val="both"/>
              <w:rPr>
                <w:rFonts w:cs="Arial"/>
                <w:sz w:val="20"/>
                <w:szCs w:val="20"/>
                <w:lang w:val="hu-HU"/>
              </w:rPr>
            </w:pPr>
            <w:r w:rsidRPr="00F10D05">
              <w:rPr>
                <w:rFonts w:cs="Arial"/>
                <w:sz w:val="20"/>
                <w:szCs w:val="20"/>
                <w:lang w:val="hu-HU"/>
              </w:rPr>
              <w:t>A termék csomagolásán található. (hónap, év)</w:t>
            </w:r>
          </w:p>
        </w:tc>
      </w:tr>
      <w:tr w:rsidR="002863ED" w:rsidRPr="00F10D05" w14:paraId="6A67A07F" w14:textId="77777777" w:rsidTr="00C91268">
        <w:tc>
          <w:tcPr>
            <w:tcW w:w="10348" w:type="dxa"/>
            <w:gridSpan w:val="2"/>
            <w:shd w:val="clear" w:color="auto" w:fill="000000" w:themeFill="text1"/>
          </w:tcPr>
          <w:p w14:paraId="1A27229D" w14:textId="652B114C" w:rsidR="002863ED" w:rsidRPr="00214474" w:rsidRDefault="002863ED" w:rsidP="00214474">
            <w:pPr>
              <w:spacing w:before="120" w:after="120"/>
              <w:jc w:val="center"/>
              <w:rPr>
                <w:rFonts w:cs="Arial"/>
                <w:sz w:val="28"/>
                <w:szCs w:val="28"/>
                <w:lang w:val="hu-HU"/>
              </w:rPr>
            </w:pPr>
            <w:r w:rsidRPr="00214474">
              <w:rPr>
                <w:rFonts w:cs="Arial"/>
                <w:sz w:val="28"/>
                <w:szCs w:val="28"/>
                <w:lang w:val="hu-HU"/>
              </w:rPr>
              <w:lastRenderedPageBreak/>
              <w:t>ALKALMAZÁS</w:t>
            </w:r>
          </w:p>
        </w:tc>
      </w:tr>
      <w:tr w:rsidR="002863ED" w:rsidRPr="00F10D05" w14:paraId="09F35929" w14:textId="77777777" w:rsidTr="002863ED">
        <w:tc>
          <w:tcPr>
            <w:tcW w:w="3261" w:type="dxa"/>
          </w:tcPr>
          <w:p w14:paraId="274CD0DD" w14:textId="3786556F" w:rsidR="002863ED" w:rsidRPr="00F10D05" w:rsidRDefault="002863ED" w:rsidP="007E0C73">
            <w:pPr>
              <w:spacing w:before="120" w:after="120"/>
              <w:jc w:val="both"/>
              <w:rPr>
                <w:rFonts w:cs="Arial"/>
                <w:sz w:val="20"/>
                <w:szCs w:val="20"/>
                <w:lang w:val="hu-HU"/>
              </w:rPr>
            </w:pPr>
            <w:r w:rsidRPr="00F10D05">
              <w:rPr>
                <w:rFonts w:cs="Arial"/>
                <w:sz w:val="20"/>
                <w:szCs w:val="20"/>
                <w:lang w:val="hu-HU"/>
              </w:rPr>
              <w:t>Termék előkészítés:</w:t>
            </w:r>
          </w:p>
        </w:tc>
        <w:tc>
          <w:tcPr>
            <w:tcW w:w="7087" w:type="dxa"/>
          </w:tcPr>
          <w:p w14:paraId="48F56A14" w14:textId="378859DE" w:rsidR="002863ED" w:rsidRPr="00F10D05" w:rsidRDefault="002863ED" w:rsidP="007E0C73">
            <w:pPr>
              <w:spacing w:before="120" w:after="120"/>
              <w:jc w:val="both"/>
              <w:rPr>
                <w:rFonts w:cs="Arial"/>
                <w:sz w:val="20"/>
                <w:szCs w:val="20"/>
                <w:lang w:val="hu-HU"/>
              </w:rPr>
            </w:pPr>
            <w:r w:rsidRPr="00F10D05">
              <w:rPr>
                <w:rFonts w:cs="Arial"/>
                <w:sz w:val="20"/>
                <w:szCs w:val="20"/>
                <w:lang w:val="hu-HU"/>
              </w:rPr>
              <w:t>Felhasználás előtt alaposan keverje át. Használat előtt tárolja a terméket szobahőmérsékleten legalább két órán keresztül.</w:t>
            </w:r>
          </w:p>
        </w:tc>
      </w:tr>
      <w:tr w:rsidR="002863ED" w:rsidRPr="00F10D05" w14:paraId="67B6565F" w14:textId="77777777" w:rsidTr="002863ED">
        <w:tc>
          <w:tcPr>
            <w:tcW w:w="3261" w:type="dxa"/>
          </w:tcPr>
          <w:p w14:paraId="5F33527A" w14:textId="42BF392E" w:rsidR="002863ED" w:rsidRPr="00F10D05" w:rsidRDefault="002863ED" w:rsidP="00E76D79">
            <w:pPr>
              <w:spacing w:before="120" w:after="120"/>
              <w:rPr>
                <w:rFonts w:cs="Arial"/>
                <w:sz w:val="20"/>
                <w:szCs w:val="20"/>
                <w:lang w:val="hu-HU"/>
              </w:rPr>
            </w:pPr>
            <w:r w:rsidRPr="00F10D05">
              <w:rPr>
                <w:rFonts w:cs="Arial"/>
                <w:sz w:val="20"/>
                <w:szCs w:val="20"/>
                <w:lang w:val="hu-HU"/>
              </w:rPr>
              <w:t>Előkészítés,</w:t>
            </w:r>
            <w:r w:rsidR="00E76D79" w:rsidRPr="00F10D05">
              <w:rPr>
                <w:rFonts w:cs="Arial"/>
                <w:sz w:val="20"/>
                <w:szCs w:val="20"/>
                <w:lang w:val="hu-HU"/>
              </w:rPr>
              <w:t xml:space="preserve"> </w:t>
            </w:r>
            <w:r w:rsidR="009D5C65" w:rsidRPr="00F10D05">
              <w:rPr>
                <w:rFonts w:cs="Arial"/>
                <w:sz w:val="20"/>
                <w:szCs w:val="20"/>
                <w:lang w:val="hu-HU"/>
              </w:rPr>
              <w:t>festés</w:t>
            </w:r>
          </w:p>
        </w:tc>
        <w:tc>
          <w:tcPr>
            <w:tcW w:w="7087" w:type="dxa"/>
          </w:tcPr>
          <w:p w14:paraId="05A6A578" w14:textId="61934A15" w:rsidR="00DC2104" w:rsidRPr="00DC2104" w:rsidRDefault="00DC2104" w:rsidP="00DC2104">
            <w:pPr>
              <w:spacing w:before="120" w:after="120"/>
              <w:jc w:val="both"/>
              <w:rPr>
                <w:rFonts w:cs="Arial"/>
                <w:sz w:val="20"/>
                <w:szCs w:val="20"/>
              </w:rPr>
            </w:pPr>
            <w:r w:rsidRPr="00EC4F9D">
              <w:rPr>
                <w:rFonts w:cs="Arial"/>
                <w:sz w:val="20"/>
                <w:szCs w:val="20"/>
                <w:lang w:val="hu-HU"/>
              </w:rPr>
              <w:t xml:space="preserve">A festetlen, új fa száraz, tiszta és zsírmentes legyen. </w:t>
            </w:r>
            <w:r w:rsidRPr="00DC2104">
              <w:rPr>
                <w:rFonts w:cs="Arial"/>
                <w:sz w:val="20"/>
                <w:szCs w:val="20"/>
              </w:rPr>
              <w:t xml:space="preserve">A </w:t>
            </w:r>
            <w:proofErr w:type="spellStart"/>
            <w:r w:rsidRPr="00DC2104">
              <w:rPr>
                <w:rFonts w:cs="Arial"/>
                <w:sz w:val="20"/>
                <w:szCs w:val="20"/>
              </w:rPr>
              <w:t>gyantakiválást</w:t>
            </w:r>
            <w:proofErr w:type="spellEnd"/>
            <w:r w:rsidRPr="00DC2104">
              <w:rPr>
                <w:rFonts w:cs="Arial"/>
                <w:sz w:val="20"/>
                <w:szCs w:val="20"/>
              </w:rPr>
              <w:t xml:space="preserve"> H</w:t>
            </w:r>
            <w:r w:rsidRPr="00DC2104">
              <w:rPr>
                <w:rFonts w:ascii="Cambria Math" w:hAnsi="Cambria Math" w:cs="Cambria Math"/>
                <w:sz w:val="20"/>
                <w:szCs w:val="20"/>
              </w:rPr>
              <w:t>‐</w:t>
            </w:r>
            <w:r w:rsidRPr="00DC2104">
              <w:rPr>
                <w:rFonts w:cs="Arial"/>
                <w:sz w:val="20"/>
                <w:szCs w:val="20"/>
              </w:rPr>
              <w:t xml:space="preserve">400 </w:t>
            </w:r>
            <w:proofErr w:type="spellStart"/>
            <w:r w:rsidRPr="00DC2104">
              <w:rPr>
                <w:rFonts w:cs="Arial"/>
                <w:sz w:val="20"/>
                <w:szCs w:val="20"/>
              </w:rPr>
              <w:t>hígítóval</w:t>
            </w:r>
            <w:proofErr w:type="spellEnd"/>
            <w:r w:rsidRPr="00DC2104">
              <w:rPr>
                <w:rFonts w:cs="Arial"/>
                <w:sz w:val="20"/>
                <w:szCs w:val="20"/>
              </w:rPr>
              <w:t xml:space="preserve"> le </w:t>
            </w:r>
            <w:proofErr w:type="spellStart"/>
            <w:r w:rsidRPr="00DC2104">
              <w:rPr>
                <w:rFonts w:cs="Arial"/>
                <w:sz w:val="20"/>
                <w:szCs w:val="20"/>
              </w:rPr>
              <w:t>kell</w:t>
            </w:r>
            <w:proofErr w:type="spellEnd"/>
            <w:r w:rsidRPr="00DC2104">
              <w:rPr>
                <w:rFonts w:cs="Arial"/>
                <w:sz w:val="20"/>
                <w:szCs w:val="20"/>
              </w:rPr>
              <w:t xml:space="preserve"> </w:t>
            </w:r>
            <w:proofErr w:type="spellStart"/>
            <w:r w:rsidRPr="00DC2104">
              <w:rPr>
                <w:rFonts w:cs="Arial"/>
                <w:sz w:val="20"/>
                <w:szCs w:val="20"/>
              </w:rPr>
              <w:t>mosni</w:t>
            </w:r>
            <w:proofErr w:type="spellEnd"/>
            <w:r w:rsidRPr="00DC2104">
              <w:rPr>
                <w:rFonts w:cs="Arial"/>
                <w:sz w:val="20"/>
                <w:szCs w:val="20"/>
              </w:rPr>
              <w:t>.</w:t>
            </w:r>
            <w:r w:rsidR="00EC4F9D">
              <w:rPr>
                <w:rFonts w:cs="Arial"/>
                <w:sz w:val="20"/>
                <w:szCs w:val="20"/>
              </w:rPr>
              <w:t xml:space="preserve"> </w:t>
            </w:r>
            <w:r w:rsidR="00EC4F9D" w:rsidRPr="00EC4F9D">
              <w:rPr>
                <w:rFonts w:cs="Arial"/>
                <w:sz w:val="20"/>
                <w:szCs w:val="20"/>
              </w:rPr>
              <w:t xml:space="preserve">Új </w:t>
            </w:r>
            <w:proofErr w:type="spellStart"/>
            <w:r w:rsidR="00EC4F9D" w:rsidRPr="00EC4F9D">
              <w:rPr>
                <w:rFonts w:cs="Arial"/>
                <w:sz w:val="20"/>
                <w:szCs w:val="20"/>
              </w:rPr>
              <w:t>felület</w:t>
            </w:r>
            <w:proofErr w:type="spellEnd"/>
            <w:r w:rsidR="00EC4F9D" w:rsidRPr="00EC4F9D">
              <w:rPr>
                <w:rFonts w:cs="Arial"/>
                <w:sz w:val="20"/>
                <w:szCs w:val="20"/>
              </w:rPr>
              <w:t xml:space="preserve">: </w:t>
            </w:r>
            <w:proofErr w:type="spellStart"/>
            <w:r w:rsidR="00EC4F9D" w:rsidRPr="00EC4F9D">
              <w:rPr>
                <w:rFonts w:cs="Arial"/>
                <w:sz w:val="20"/>
                <w:szCs w:val="20"/>
              </w:rPr>
              <w:t>gyalult</w:t>
            </w:r>
            <w:proofErr w:type="spellEnd"/>
            <w:r w:rsidR="00EC4F9D" w:rsidRPr="00EC4F9D">
              <w:rPr>
                <w:rFonts w:cs="Arial"/>
                <w:sz w:val="20"/>
                <w:szCs w:val="20"/>
              </w:rPr>
              <w:t xml:space="preserve"> </w:t>
            </w:r>
            <w:proofErr w:type="spellStart"/>
            <w:r w:rsidR="00EC4F9D" w:rsidRPr="00EC4F9D">
              <w:rPr>
                <w:rFonts w:cs="Arial"/>
                <w:sz w:val="20"/>
                <w:szCs w:val="20"/>
              </w:rPr>
              <w:t>felület</w:t>
            </w:r>
            <w:proofErr w:type="spellEnd"/>
            <w:r w:rsidR="00EC4F9D" w:rsidRPr="00EC4F9D">
              <w:rPr>
                <w:rFonts w:cs="Arial"/>
                <w:sz w:val="20"/>
                <w:szCs w:val="20"/>
              </w:rPr>
              <w:t xml:space="preserve"> </w:t>
            </w:r>
            <w:proofErr w:type="spellStart"/>
            <w:r w:rsidR="00EC4F9D" w:rsidRPr="00EC4F9D">
              <w:rPr>
                <w:rFonts w:cs="Arial"/>
                <w:sz w:val="20"/>
                <w:szCs w:val="20"/>
              </w:rPr>
              <w:t>esetén</w:t>
            </w:r>
            <w:proofErr w:type="spellEnd"/>
            <w:r w:rsidR="00EC4F9D" w:rsidRPr="00EC4F9D">
              <w:rPr>
                <w:rFonts w:cs="Arial"/>
                <w:sz w:val="20"/>
                <w:szCs w:val="20"/>
              </w:rPr>
              <w:t xml:space="preserve"> a </w:t>
            </w:r>
            <w:proofErr w:type="spellStart"/>
            <w:r w:rsidR="00EC4F9D" w:rsidRPr="00EC4F9D">
              <w:rPr>
                <w:rFonts w:cs="Arial"/>
                <w:sz w:val="20"/>
                <w:szCs w:val="20"/>
              </w:rPr>
              <w:t>felületet</w:t>
            </w:r>
            <w:proofErr w:type="spellEnd"/>
            <w:r w:rsidR="00EC4F9D" w:rsidRPr="00EC4F9D">
              <w:rPr>
                <w:rFonts w:cs="Arial"/>
                <w:sz w:val="20"/>
                <w:szCs w:val="20"/>
              </w:rPr>
              <w:t xml:space="preserve"> </w:t>
            </w:r>
            <w:proofErr w:type="spellStart"/>
            <w:r w:rsidR="00EC4F9D" w:rsidRPr="00EC4F9D">
              <w:rPr>
                <w:rFonts w:cs="Arial"/>
                <w:sz w:val="20"/>
                <w:szCs w:val="20"/>
              </w:rPr>
              <w:t>mindenképpen</w:t>
            </w:r>
            <w:proofErr w:type="spellEnd"/>
            <w:r w:rsidR="00EC4F9D" w:rsidRPr="00EC4F9D">
              <w:rPr>
                <w:rFonts w:cs="Arial"/>
                <w:sz w:val="20"/>
                <w:szCs w:val="20"/>
              </w:rPr>
              <w:t xml:space="preserve"> meg </w:t>
            </w:r>
            <w:proofErr w:type="spellStart"/>
            <w:r w:rsidR="00EC4F9D" w:rsidRPr="00EC4F9D">
              <w:rPr>
                <w:rFonts w:cs="Arial"/>
                <w:sz w:val="20"/>
                <w:szCs w:val="20"/>
              </w:rPr>
              <w:t>kell</w:t>
            </w:r>
            <w:proofErr w:type="spellEnd"/>
            <w:r w:rsidR="00EC4F9D" w:rsidRPr="00EC4F9D">
              <w:rPr>
                <w:rFonts w:cs="Arial"/>
                <w:sz w:val="20"/>
                <w:szCs w:val="20"/>
              </w:rPr>
              <w:t xml:space="preserve"> </w:t>
            </w:r>
            <w:proofErr w:type="spellStart"/>
            <w:r w:rsidR="00EC4F9D" w:rsidRPr="00EC4F9D">
              <w:rPr>
                <w:rFonts w:cs="Arial"/>
                <w:sz w:val="20"/>
                <w:szCs w:val="20"/>
              </w:rPr>
              <w:t>csiszolni</w:t>
            </w:r>
            <w:proofErr w:type="spellEnd"/>
            <w:r w:rsidR="00EC4F9D" w:rsidRPr="00EC4F9D">
              <w:rPr>
                <w:rFonts w:cs="Arial"/>
                <w:sz w:val="20"/>
                <w:szCs w:val="20"/>
              </w:rPr>
              <w:t>.</w:t>
            </w:r>
            <w:r w:rsidR="00EC4F9D">
              <w:rPr>
                <w:rFonts w:cs="Arial"/>
                <w:sz w:val="20"/>
                <w:szCs w:val="20"/>
              </w:rPr>
              <w:t xml:space="preserve"> </w:t>
            </w:r>
            <w:r w:rsidRPr="00DC2104">
              <w:rPr>
                <w:rFonts w:cs="Arial"/>
                <w:sz w:val="20"/>
                <w:szCs w:val="20"/>
              </w:rPr>
              <w:t xml:space="preserve">A </w:t>
            </w:r>
            <w:proofErr w:type="spellStart"/>
            <w:r w:rsidRPr="00DC2104">
              <w:rPr>
                <w:rFonts w:cs="Arial"/>
                <w:sz w:val="20"/>
                <w:szCs w:val="20"/>
              </w:rPr>
              <w:t>fát</w:t>
            </w:r>
            <w:proofErr w:type="spellEnd"/>
            <w:r w:rsidRPr="00DC2104">
              <w:rPr>
                <w:rFonts w:cs="Arial"/>
                <w:sz w:val="20"/>
                <w:szCs w:val="20"/>
              </w:rPr>
              <w:t xml:space="preserve"> Sadolin Base </w:t>
            </w:r>
            <w:proofErr w:type="spellStart"/>
            <w:r w:rsidRPr="00DC2104">
              <w:rPr>
                <w:rFonts w:cs="Arial"/>
                <w:sz w:val="20"/>
                <w:szCs w:val="20"/>
              </w:rPr>
              <w:t>impregnáló</w:t>
            </w:r>
            <w:proofErr w:type="spellEnd"/>
            <w:r w:rsidRPr="00DC2104">
              <w:rPr>
                <w:rFonts w:cs="Arial"/>
                <w:sz w:val="20"/>
                <w:szCs w:val="20"/>
              </w:rPr>
              <w:t xml:space="preserve"> </w:t>
            </w:r>
            <w:proofErr w:type="spellStart"/>
            <w:r w:rsidRPr="00DC2104">
              <w:rPr>
                <w:rFonts w:cs="Arial"/>
                <w:sz w:val="20"/>
                <w:szCs w:val="20"/>
              </w:rPr>
              <w:t>alapozóval</w:t>
            </w:r>
            <w:proofErr w:type="spellEnd"/>
            <w:r w:rsidRPr="00DC2104">
              <w:rPr>
                <w:rFonts w:cs="Arial"/>
                <w:sz w:val="20"/>
                <w:szCs w:val="20"/>
              </w:rPr>
              <w:t xml:space="preserve"> </w:t>
            </w:r>
            <w:proofErr w:type="spellStart"/>
            <w:r w:rsidRPr="00DC2104">
              <w:rPr>
                <w:rFonts w:cs="Arial"/>
                <w:sz w:val="20"/>
                <w:szCs w:val="20"/>
              </w:rPr>
              <w:t>telítésig</w:t>
            </w:r>
            <w:proofErr w:type="spellEnd"/>
            <w:r w:rsidRPr="00DC2104">
              <w:rPr>
                <w:rFonts w:cs="Arial"/>
                <w:sz w:val="20"/>
                <w:szCs w:val="20"/>
              </w:rPr>
              <w:t xml:space="preserve"> </w:t>
            </w:r>
            <w:proofErr w:type="spellStart"/>
            <w:r w:rsidRPr="00DC2104">
              <w:rPr>
                <w:rFonts w:cs="Arial"/>
                <w:sz w:val="20"/>
                <w:szCs w:val="20"/>
              </w:rPr>
              <w:t>alapozzuk</w:t>
            </w:r>
            <w:proofErr w:type="spellEnd"/>
            <w:r w:rsidRPr="00DC2104">
              <w:rPr>
                <w:rFonts w:cs="Arial"/>
                <w:sz w:val="20"/>
                <w:szCs w:val="20"/>
              </w:rPr>
              <w:t xml:space="preserve">. Amennyiben a felületre túl sok alapozót vittünk fel (fényes foltok, felületek jelennek meg), a felesleget hígítóval távolítsuk el, különben a lazúr nem tapad meg rendesen a felületen, és </w:t>
            </w:r>
            <w:proofErr w:type="gramStart"/>
            <w:r w:rsidRPr="00DC2104">
              <w:rPr>
                <w:rFonts w:cs="Arial"/>
                <w:sz w:val="20"/>
                <w:szCs w:val="20"/>
              </w:rPr>
              <w:t>idő  előtti</w:t>
            </w:r>
            <w:proofErr w:type="gramEnd"/>
            <w:r w:rsidRPr="00DC2104">
              <w:rPr>
                <w:rFonts w:cs="Arial"/>
                <w:sz w:val="20"/>
                <w:szCs w:val="20"/>
              </w:rPr>
              <w:t xml:space="preserve"> kopást, leveles felválást okozhat!</w:t>
            </w:r>
          </w:p>
          <w:p w14:paraId="2E6F2FDC" w14:textId="72461024" w:rsidR="00D422FE" w:rsidRDefault="00DC2104" w:rsidP="00D422FE">
            <w:pPr>
              <w:spacing w:before="120" w:after="120"/>
              <w:jc w:val="both"/>
              <w:rPr>
                <w:rFonts w:cs="Arial"/>
                <w:sz w:val="20"/>
                <w:szCs w:val="20"/>
                <w:lang w:val="hu-HU"/>
              </w:rPr>
            </w:pPr>
            <w:r w:rsidRPr="00D61E7A">
              <w:rPr>
                <w:rFonts w:cs="Arial"/>
                <w:sz w:val="20"/>
                <w:szCs w:val="20"/>
                <w:lang w:val="hu-HU"/>
              </w:rPr>
              <w:t>Festett felület esetén csak a bevonathiányos részt kell Sadolin Base</w:t>
            </w:r>
            <w:r w:rsidRPr="00D61E7A">
              <w:rPr>
                <w:rFonts w:ascii="Cambria Math" w:hAnsi="Cambria Math" w:cs="Cambria Math"/>
                <w:sz w:val="20"/>
                <w:szCs w:val="20"/>
                <w:lang w:val="hu-HU"/>
              </w:rPr>
              <w:t>‐</w:t>
            </w:r>
            <w:r w:rsidRPr="00D61E7A">
              <w:rPr>
                <w:rFonts w:cs="Arial"/>
                <w:sz w:val="20"/>
                <w:szCs w:val="20"/>
                <w:lang w:val="hu-HU"/>
              </w:rPr>
              <w:t>zel újra</w:t>
            </w:r>
            <w:r w:rsidR="00D61E7A" w:rsidRPr="00D61E7A">
              <w:rPr>
                <w:rFonts w:cs="Arial"/>
                <w:sz w:val="20"/>
                <w:szCs w:val="20"/>
                <w:lang w:val="hu-HU"/>
              </w:rPr>
              <w:t xml:space="preserve"> </w:t>
            </w:r>
            <w:r w:rsidRPr="00D61E7A">
              <w:rPr>
                <w:rFonts w:cs="Arial"/>
                <w:sz w:val="20"/>
                <w:szCs w:val="20"/>
                <w:lang w:val="hu-HU"/>
              </w:rPr>
              <w:t xml:space="preserve">alapozni. </w:t>
            </w:r>
            <w:r w:rsidRPr="00EC4F9D">
              <w:rPr>
                <w:rFonts w:cs="Arial"/>
                <w:sz w:val="20"/>
                <w:szCs w:val="20"/>
                <w:lang w:val="hu-HU"/>
              </w:rPr>
              <w:t>A degradálódott, szürke fafelületet előzetesen le kell csiszolni. A repedezett, lazán tapadó bevonatot el kell távolítani, majd úgy kell eljárni, mint új felületnél.</w:t>
            </w:r>
          </w:p>
          <w:p w14:paraId="459EE1ED" w14:textId="3D809DD8" w:rsidR="00D422FE" w:rsidRPr="00D422FE" w:rsidRDefault="00D422FE" w:rsidP="00D422FE">
            <w:pPr>
              <w:spacing w:before="120" w:after="120"/>
              <w:jc w:val="both"/>
              <w:rPr>
                <w:rFonts w:cs="Arial"/>
                <w:sz w:val="20"/>
                <w:szCs w:val="20"/>
              </w:rPr>
            </w:pPr>
            <w:r w:rsidRPr="00EC4F9D">
              <w:rPr>
                <w:rFonts w:cs="Arial"/>
                <w:sz w:val="20"/>
                <w:szCs w:val="20"/>
                <w:lang w:val="hu-HU"/>
              </w:rPr>
              <w:br/>
            </w:r>
            <w:r w:rsidRPr="00D422FE">
              <w:rPr>
                <w:rFonts w:cs="Arial"/>
                <w:sz w:val="20"/>
                <w:szCs w:val="20"/>
              </w:rPr>
              <w:t>A Sadolin Extra vastaglazúrt a Sadolin Base felhordását követően 24</w:t>
            </w:r>
            <w:r>
              <w:rPr>
                <w:rFonts w:cs="Arial"/>
                <w:sz w:val="20"/>
                <w:szCs w:val="20"/>
              </w:rPr>
              <w:t xml:space="preserve"> </w:t>
            </w:r>
            <w:r w:rsidRPr="00D422FE">
              <w:rPr>
                <w:rFonts w:cs="Arial"/>
                <w:sz w:val="20"/>
                <w:szCs w:val="20"/>
              </w:rPr>
              <w:t xml:space="preserve">óra elteltével ecsettel hordjuk fel. A Sadolin Extra felhasználásra kész, hígítani nem szükséges. Használat előtt és használat közben időnként alaposan fel kell keverni. Ecsettel hordjuk fel szálirányban, majd alaposan szétoszlatjuk. Ne használjuk +5°C alatt vagy +30°C felett; tűző napsütésben; nem kellően száraz fára (18% nedvességtartalom felett); festett vagy lakkozott felületre. Szórással ne vigyük fel! </w:t>
            </w:r>
          </w:p>
          <w:p w14:paraId="7B4E2D24" w14:textId="77777777" w:rsidR="00D422FE" w:rsidRPr="00D422FE" w:rsidRDefault="00D422FE" w:rsidP="00D422FE">
            <w:pPr>
              <w:spacing w:before="120" w:after="120"/>
              <w:jc w:val="both"/>
              <w:rPr>
                <w:rFonts w:cs="Arial"/>
                <w:sz w:val="20"/>
                <w:szCs w:val="20"/>
              </w:rPr>
            </w:pPr>
            <w:r w:rsidRPr="00D422FE">
              <w:rPr>
                <w:rFonts w:cs="Arial"/>
                <w:sz w:val="20"/>
                <w:szCs w:val="20"/>
              </w:rPr>
              <w:t xml:space="preserve">Javasolt bevonatrendszer: 1 réteg Sadolin Base alapozó a fa telítéséig, majd 2 réteg Sadolin Extra. Időjárásnak fokozottan kitett helyeken 3 réteg felhordását javasoljuk. </w:t>
            </w:r>
          </w:p>
          <w:p w14:paraId="0126BB70" w14:textId="77777777" w:rsidR="00D422FE" w:rsidRPr="00D422FE" w:rsidRDefault="00D422FE" w:rsidP="00D422FE">
            <w:pPr>
              <w:spacing w:before="120" w:after="120"/>
              <w:jc w:val="both"/>
              <w:rPr>
                <w:rFonts w:cs="Arial"/>
                <w:sz w:val="20"/>
                <w:szCs w:val="20"/>
              </w:rPr>
            </w:pPr>
            <w:r w:rsidRPr="00D422FE">
              <w:rPr>
                <w:rFonts w:cs="Arial"/>
                <w:sz w:val="20"/>
                <w:szCs w:val="20"/>
              </w:rPr>
              <w:t xml:space="preserve">A bevonat karbantartása: A bevonat épségét évente ellenőrizzük, szükség esetén a bevonatot Sadolin Extra lazúrral fessük át. A Sadolin Extra alkalmas a Sadolin Classic bevonat felújítására is. </w:t>
            </w:r>
          </w:p>
          <w:p w14:paraId="45F166D1" w14:textId="77777777" w:rsidR="00D422FE" w:rsidRPr="00D422FE" w:rsidRDefault="00D422FE" w:rsidP="00D422FE">
            <w:pPr>
              <w:spacing w:before="120" w:after="120"/>
              <w:jc w:val="both"/>
              <w:rPr>
                <w:rFonts w:cs="Arial"/>
                <w:sz w:val="20"/>
                <w:szCs w:val="20"/>
              </w:rPr>
            </w:pPr>
            <w:r w:rsidRPr="00D422FE">
              <w:rPr>
                <w:rFonts w:cs="Arial"/>
                <w:sz w:val="20"/>
                <w:szCs w:val="20"/>
              </w:rPr>
              <w:t xml:space="preserve">Színtelen és készre kevert színekben elérhető. A Sadolin Extra </w:t>
            </w:r>
            <w:proofErr w:type="spellStart"/>
            <w:r w:rsidRPr="00D422FE">
              <w:rPr>
                <w:rFonts w:cs="Arial"/>
                <w:sz w:val="20"/>
                <w:szCs w:val="20"/>
              </w:rPr>
              <w:t>színtelent</w:t>
            </w:r>
            <w:proofErr w:type="spellEnd"/>
            <w:r w:rsidRPr="00D422FE">
              <w:rPr>
                <w:rFonts w:cs="Arial"/>
                <w:sz w:val="20"/>
                <w:szCs w:val="20"/>
              </w:rPr>
              <w:t xml:space="preserve"> </w:t>
            </w:r>
            <w:proofErr w:type="spellStart"/>
            <w:r w:rsidRPr="00D422FE">
              <w:rPr>
                <w:rFonts w:cs="Arial"/>
                <w:sz w:val="20"/>
                <w:szCs w:val="20"/>
              </w:rPr>
              <w:t>kültéren</w:t>
            </w:r>
            <w:proofErr w:type="spellEnd"/>
            <w:r w:rsidRPr="00D422FE">
              <w:rPr>
                <w:rFonts w:cs="Arial"/>
                <w:sz w:val="20"/>
                <w:szCs w:val="20"/>
              </w:rPr>
              <w:t xml:space="preserve"> </w:t>
            </w:r>
            <w:proofErr w:type="spellStart"/>
            <w:r w:rsidRPr="00D422FE">
              <w:rPr>
                <w:rFonts w:cs="Arial"/>
                <w:sz w:val="20"/>
                <w:szCs w:val="20"/>
              </w:rPr>
              <w:t>utolsó</w:t>
            </w:r>
            <w:proofErr w:type="spellEnd"/>
            <w:r w:rsidRPr="00D422FE">
              <w:rPr>
                <w:rFonts w:cs="Arial"/>
                <w:sz w:val="20"/>
                <w:szCs w:val="20"/>
              </w:rPr>
              <w:t xml:space="preserve"> </w:t>
            </w:r>
            <w:proofErr w:type="spellStart"/>
            <w:r w:rsidRPr="00D422FE">
              <w:rPr>
                <w:rFonts w:cs="Arial"/>
                <w:sz w:val="20"/>
                <w:szCs w:val="20"/>
              </w:rPr>
              <w:t>rétegként</w:t>
            </w:r>
            <w:proofErr w:type="spellEnd"/>
            <w:r w:rsidRPr="00D422FE">
              <w:rPr>
                <w:rFonts w:cs="Arial"/>
                <w:sz w:val="20"/>
                <w:szCs w:val="20"/>
              </w:rPr>
              <w:t xml:space="preserve">, </w:t>
            </w:r>
            <w:proofErr w:type="spellStart"/>
            <w:r w:rsidRPr="00D422FE">
              <w:rPr>
                <w:rFonts w:cs="Arial"/>
                <w:sz w:val="20"/>
                <w:szCs w:val="20"/>
              </w:rPr>
              <w:t>fedőrétegként</w:t>
            </w:r>
            <w:proofErr w:type="spellEnd"/>
            <w:r w:rsidRPr="00D422FE">
              <w:rPr>
                <w:rFonts w:cs="Arial"/>
                <w:sz w:val="20"/>
                <w:szCs w:val="20"/>
              </w:rPr>
              <w:t xml:space="preserve"> ne </w:t>
            </w:r>
            <w:proofErr w:type="spellStart"/>
            <w:r w:rsidRPr="00D422FE">
              <w:rPr>
                <w:rFonts w:cs="Arial"/>
                <w:sz w:val="20"/>
                <w:szCs w:val="20"/>
              </w:rPr>
              <w:t>használjuk</w:t>
            </w:r>
            <w:proofErr w:type="spellEnd"/>
            <w:r w:rsidRPr="00D422FE">
              <w:rPr>
                <w:rFonts w:cs="Arial"/>
                <w:sz w:val="20"/>
                <w:szCs w:val="20"/>
              </w:rPr>
              <w:t xml:space="preserve">, </w:t>
            </w:r>
            <w:proofErr w:type="spellStart"/>
            <w:r w:rsidRPr="00D422FE">
              <w:rPr>
                <w:rFonts w:cs="Arial"/>
                <w:sz w:val="20"/>
                <w:szCs w:val="20"/>
              </w:rPr>
              <w:t>mivel</w:t>
            </w:r>
            <w:proofErr w:type="spellEnd"/>
            <w:r w:rsidRPr="00D422FE">
              <w:rPr>
                <w:rFonts w:cs="Arial"/>
                <w:sz w:val="20"/>
                <w:szCs w:val="20"/>
              </w:rPr>
              <w:t xml:space="preserve"> az a pigmentek hiánya miatt nem lesz UV álló. </w:t>
            </w:r>
            <w:proofErr w:type="spellStart"/>
            <w:r w:rsidRPr="00D422FE">
              <w:rPr>
                <w:rFonts w:cs="Arial"/>
                <w:sz w:val="20"/>
                <w:szCs w:val="20"/>
              </w:rPr>
              <w:t>Színtelen</w:t>
            </w:r>
            <w:proofErr w:type="spellEnd"/>
            <w:r w:rsidRPr="00D422FE">
              <w:rPr>
                <w:rFonts w:cs="Arial"/>
                <w:sz w:val="20"/>
                <w:szCs w:val="20"/>
              </w:rPr>
              <w:t xml:space="preserve"> </w:t>
            </w:r>
            <w:proofErr w:type="spellStart"/>
            <w:r w:rsidRPr="00D422FE">
              <w:rPr>
                <w:rFonts w:cs="Arial"/>
                <w:sz w:val="20"/>
                <w:szCs w:val="20"/>
              </w:rPr>
              <w:t>kivitelben</w:t>
            </w:r>
            <w:proofErr w:type="spellEnd"/>
            <w:r w:rsidRPr="00D422FE">
              <w:rPr>
                <w:rFonts w:cs="Arial"/>
                <w:sz w:val="20"/>
                <w:szCs w:val="20"/>
              </w:rPr>
              <w:t xml:space="preserve"> </w:t>
            </w:r>
            <w:proofErr w:type="spellStart"/>
            <w:r w:rsidRPr="00D422FE">
              <w:rPr>
                <w:rFonts w:cs="Arial"/>
                <w:sz w:val="20"/>
                <w:szCs w:val="20"/>
              </w:rPr>
              <w:t>kültéren</w:t>
            </w:r>
            <w:proofErr w:type="spellEnd"/>
            <w:r w:rsidRPr="00D422FE">
              <w:rPr>
                <w:rFonts w:cs="Arial"/>
                <w:sz w:val="20"/>
                <w:szCs w:val="20"/>
              </w:rPr>
              <w:t xml:space="preserve"> a Sadolin UV Extra termékünket ajánljuk.</w:t>
            </w:r>
          </w:p>
          <w:p w14:paraId="5902436E" w14:textId="77777777" w:rsidR="00D422FE" w:rsidRPr="00D422FE" w:rsidRDefault="00D422FE" w:rsidP="00D422FE">
            <w:pPr>
              <w:spacing w:before="120" w:after="120"/>
              <w:jc w:val="both"/>
              <w:rPr>
                <w:rFonts w:cs="Arial"/>
                <w:sz w:val="20"/>
                <w:szCs w:val="20"/>
              </w:rPr>
            </w:pPr>
            <w:r w:rsidRPr="00D422FE">
              <w:rPr>
                <w:rFonts w:cs="Arial"/>
                <w:sz w:val="20"/>
                <w:szCs w:val="20"/>
              </w:rPr>
              <w:t>A Sadolin Extra színei egymással keverhetőek, a megfelelő UV állóság érdekében a termék legfeljebb 30% Sadolin Extra színtelent tartalmazhat.</w:t>
            </w:r>
          </w:p>
          <w:p w14:paraId="4EEFFC7E" w14:textId="46E1C0A8" w:rsidR="00C027F8" w:rsidRPr="00D422FE" w:rsidRDefault="00D422FE" w:rsidP="00D422FE">
            <w:pPr>
              <w:spacing w:before="120" w:after="120"/>
              <w:jc w:val="both"/>
              <w:rPr>
                <w:rFonts w:cs="Arial"/>
                <w:sz w:val="20"/>
                <w:szCs w:val="20"/>
                <w:lang w:val="hu-HU"/>
              </w:rPr>
            </w:pPr>
            <w:r w:rsidRPr="00D422FE">
              <w:rPr>
                <w:rFonts w:cs="Arial"/>
                <w:sz w:val="20"/>
                <w:szCs w:val="20"/>
                <w:lang w:val="hu-HU"/>
              </w:rPr>
              <w:t xml:space="preserve">Alábbi fafajtákra javasolt: Akác, Bükk, Ében, Fenyő, </w:t>
            </w:r>
            <w:proofErr w:type="spellStart"/>
            <w:r w:rsidRPr="00D422FE">
              <w:rPr>
                <w:rFonts w:cs="Arial"/>
                <w:sz w:val="20"/>
                <w:szCs w:val="20"/>
                <w:lang w:val="hu-HU"/>
              </w:rPr>
              <w:t>Teak</w:t>
            </w:r>
            <w:proofErr w:type="spellEnd"/>
            <w:r w:rsidRPr="00D422FE">
              <w:rPr>
                <w:rFonts w:cs="Arial"/>
                <w:sz w:val="20"/>
                <w:szCs w:val="20"/>
                <w:lang w:val="hu-HU"/>
              </w:rPr>
              <w:t>, Tölgy</w:t>
            </w:r>
          </w:p>
        </w:tc>
      </w:tr>
      <w:tr w:rsidR="002863ED" w:rsidRPr="00F10D05" w14:paraId="69EBF86E" w14:textId="77777777" w:rsidTr="002863ED">
        <w:tc>
          <w:tcPr>
            <w:tcW w:w="3261" w:type="dxa"/>
          </w:tcPr>
          <w:p w14:paraId="05C03375" w14:textId="6D69615A" w:rsidR="002863ED" w:rsidRPr="00F10D05" w:rsidRDefault="002863ED" w:rsidP="00CD0922">
            <w:pPr>
              <w:spacing w:before="120" w:after="120"/>
              <w:rPr>
                <w:rFonts w:cs="Arial"/>
                <w:sz w:val="20"/>
                <w:szCs w:val="20"/>
                <w:lang w:val="hu-HU"/>
              </w:rPr>
            </w:pPr>
            <w:r w:rsidRPr="00F10D05">
              <w:rPr>
                <w:rFonts w:cs="Arial"/>
                <w:sz w:val="20"/>
                <w:szCs w:val="20"/>
                <w:lang w:val="hu-HU"/>
              </w:rPr>
              <w:t>Eszközök tisztítása</w:t>
            </w:r>
            <w:r w:rsidR="00CD0922" w:rsidRPr="00F10D05">
              <w:rPr>
                <w:rFonts w:cs="Arial"/>
                <w:sz w:val="20"/>
                <w:szCs w:val="20"/>
                <w:lang w:val="hu-HU"/>
              </w:rPr>
              <w:t xml:space="preserve">, </w:t>
            </w:r>
            <w:proofErr w:type="spellStart"/>
            <w:r w:rsidR="00CD0922" w:rsidRPr="00F10D05">
              <w:rPr>
                <w:rFonts w:cs="Arial"/>
                <w:sz w:val="20"/>
                <w:szCs w:val="20"/>
                <w:lang w:val="hu-HU"/>
              </w:rPr>
              <w:t>csomagolóedényzet</w:t>
            </w:r>
            <w:proofErr w:type="spellEnd"/>
          </w:p>
        </w:tc>
        <w:tc>
          <w:tcPr>
            <w:tcW w:w="7087" w:type="dxa"/>
          </w:tcPr>
          <w:p w14:paraId="30C6D36A" w14:textId="77777777" w:rsidR="00D4236D" w:rsidRPr="00F10D05" w:rsidRDefault="00D4236D" w:rsidP="00BC63A7">
            <w:pPr>
              <w:spacing w:before="120" w:after="120"/>
              <w:jc w:val="both"/>
              <w:rPr>
                <w:rFonts w:cs="Arial"/>
                <w:sz w:val="20"/>
                <w:szCs w:val="20"/>
                <w:lang w:val="hu-HU"/>
              </w:rPr>
            </w:pPr>
            <w:r w:rsidRPr="00F10D05">
              <w:rPr>
                <w:rFonts w:cs="Arial"/>
                <w:sz w:val="20"/>
                <w:szCs w:val="20"/>
                <w:lang w:val="hu-HU"/>
              </w:rPr>
              <w:t xml:space="preserve">H-100 szintetikus hígító. </w:t>
            </w:r>
          </w:p>
          <w:p w14:paraId="3982CC7F" w14:textId="6E57939D" w:rsidR="002863ED" w:rsidRPr="00F10D05" w:rsidRDefault="002863ED" w:rsidP="00BC63A7">
            <w:pPr>
              <w:spacing w:before="120" w:after="120"/>
              <w:jc w:val="both"/>
              <w:rPr>
                <w:rFonts w:cs="Arial"/>
                <w:sz w:val="20"/>
                <w:szCs w:val="20"/>
                <w:lang w:val="hu-HU"/>
              </w:rPr>
            </w:pPr>
            <w:r w:rsidRPr="00F10D05">
              <w:rPr>
                <w:rFonts w:cs="Arial"/>
                <w:sz w:val="20"/>
                <w:szCs w:val="20"/>
                <w:lang w:val="hu-HU"/>
              </w:rPr>
              <w:t>Festés során a szerszámokból a lehető legtöbb festéket fel kell használni. Csak a teljesen kiürült és kitisztított csomagolóedény hasznosítható újra. A kiürült csomagolóedény élelmiszerek tárolására nem alkalmas.</w:t>
            </w:r>
          </w:p>
        </w:tc>
      </w:tr>
      <w:tr w:rsidR="002863ED" w:rsidRPr="00F10D05" w14:paraId="7845D3CA" w14:textId="77777777" w:rsidTr="002863ED">
        <w:tc>
          <w:tcPr>
            <w:tcW w:w="3261" w:type="dxa"/>
          </w:tcPr>
          <w:p w14:paraId="3C9DA5B4" w14:textId="7B3374DE" w:rsidR="002863ED" w:rsidRPr="00F10D05" w:rsidRDefault="002863ED" w:rsidP="00BC63A7">
            <w:pPr>
              <w:spacing w:before="120" w:after="120"/>
              <w:jc w:val="both"/>
              <w:rPr>
                <w:rFonts w:cs="Arial"/>
                <w:sz w:val="20"/>
                <w:szCs w:val="20"/>
                <w:lang w:val="hu-HU"/>
              </w:rPr>
            </w:pPr>
            <w:r w:rsidRPr="00F10D05">
              <w:rPr>
                <w:rFonts w:cs="Arial"/>
                <w:sz w:val="20"/>
                <w:szCs w:val="20"/>
                <w:lang w:val="hu-HU"/>
              </w:rPr>
              <w:t>Tárolás és szállítás</w:t>
            </w:r>
          </w:p>
        </w:tc>
        <w:tc>
          <w:tcPr>
            <w:tcW w:w="7087" w:type="dxa"/>
          </w:tcPr>
          <w:p w14:paraId="06EAC9A1" w14:textId="5EF4E412" w:rsidR="002863ED" w:rsidRPr="00F10D05" w:rsidRDefault="002863ED" w:rsidP="00BC63A7">
            <w:pPr>
              <w:spacing w:before="120" w:after="120"/>
              <w:jc w:val="both"/>
              <w:rPr>
                <w:rFonts w:cs="Arial"/>
                <w:sz w:val="20"/>
                <w:szCs w:val="20"/>
                <w:lang w:val="hu-HU"/>
              </w:rPr>
            </w:pPr>
            <w:r w:rsidRPr="00F10D05">
              <w:rPr>
                <w:rFonts w:cs="Arial"/>
                <w:sz w:val="20"/>
                <w:szCs w:val="20"/>
                <w:lang w:val="hu-HU"/>
              </w:rPr>
              <w:t>A még fel nem használt vagy megmaradt festéket tárolja hőtől és közvetlen napfénytől védve az eredeti, jól lezárt csomagolásban +5°C és +</w:t>
            </w:r>
            <w:r w:rsidR="000E02D3" w:rsidRPr="00F10D05">
              <w:rPr>
                <w:rFonts w:cs="Arial"/>
                <w:sz w:val="20"/>
                <w:szCs w:val="20"/>
                <w:lang w:val="hu-HU"/>
              </w:rPr>
              <w:t>30</w:t>
            </w:r>
            <w:r w:rsidRPr="00F10D05">
              <w:rPr>
                <w:rFonts w:cs="Arial"/>
                <w:sz w:val="20"/>
                <w:szCs w:val="20"/>
                <w:lang w:val="hu-HU"/>
              </w:rPr>
              <w:t>°C között.</w:t>
            </w:r>
            <w:r w:rsidR="000E02D3" w:rsidRPr="00F10D05">
              <w:rPr>
                <w:rFonts w:cs="Arial"/>
                <w:sz w:val="20"/>
                <w:szCs w:val="20"/>
                <w:lang w:val="hu-HU"/>
              </w:rPr>
              <w:t xml:space="preserve"> Fagytól óvjuk!</w:t>
            </w:r>
            <w:r w:rsidRPr="00F10D05">
              <w:rPr>
                <w:rFonts w:cs="Arial"/>
                <w:sz w:val="20"/>
                <w:szCs w:val="20"/>
                <w:lang w:val="hu-HU"/>
              </w:rPr>
              <w:t xml:space="preserve"> </w:t>
            </w:r>
          </w:p>
        </w:tc>
      </w:tr>
      <w:tr w:rsidR="002863ED" w:rsidRPr="00F10D05" w14:paraId="4511B24E" w14:textId="278BADF9" w:rsidTr="002863ED">
        <w:tc>
          <w:tcPr>
            <w:tcW w:w="3261" w:type="dxa"/>
          </w:tcPr>
          <w:p w14:paraId="29DAF654" w14:textId="070F90D2" w:rsidR="002863ED" w:rsidRPr="00F10D05" w:rsidRDefault="002863ED" w:rsidP="00BC63A7">
            <w:pPr>
              <w:spacing w:before="120" w:after="120"/>
              <w:jc w:val="both"/>
              <w:rPr>
                <w:rFonts w:cs="Arial"/>
                <w:sz w:val="20"/>
                <w:szCs w:val="20"/>
                <w:lang w:val="hu-HU"/>
              </w:rPr>
            </w:pPr>
            <w:r w:rsidRPr="00F10D05">
              <w:rPr>
                <w:rFonts w:cs="Arial"/>
                <w:sz w:val="20"/>
                <w:szCs w:val="20"/>
                <w:lang w:val="hu-HU"/>
              </w:rPr>
              <w:lastRenderedPageBreak/>
              <w:t>Környezetvédelem</w:t>
            </w:r>
          </w:p>
        </w:tc>
        <w:tc>
          <w:tcPr>
            <w:tcW w:w="7087" w:type="dxa"/>
            <w:vAlign w:val="center"/>
          </w:tcPr>
          <w:p w14:paraId="04B89609" w14:textId="77777777" w:rsidR="002863ED" w:rsidRPr="00F10D05" w:rsidRDefault="002863ED" w:rsidP="00BC63A7">
            <w:pPr>
              <w:jc w:val="both"/>
              <w:rPr>
                <w:rFonts w:cs="Arial"/>
                <w:sz w:val="20"/>
                <w:szCs w:val="20"/>
                <w:lang w:val="hu-HU"/>
              </w:rPr>
            </w:pPr>
            <w:r w:rsidRPr="00F10D05">
              <w:rPr>
                <w:rFonts w:cs="Arial"/>
                <w:noProof/>
                <w:sz w:val="20"/>
                <w:szCs w:val="20"/>
              </w:rPr>
              <w:drawing>
                <wp:anchor distT="0" distB="0" distL="114300" distR="114300" simplePos="0" relativeHeight="251691520" behindDoc="1" locked="0" layoutInCell="1" allowOverlap="1" wp14:anchorId="26B7CD49" wp14:editId="7DC5E8FC">
                  <wp:simplePos x="0" y="0"/>
                  <wp:positionH relativeFrom="column">
                    <wp:posOffset>-1169035</wp:posOffset>
                  </wp:positionH>
                  <wp:positionV relativeFrom="paragraph">
                    <wp:posOffset>120015</wp:posOffset>
                  </wp:positionV>
                  <wp:extent cx="1195070" cy="588010"/>
                  <wp:effectExtent l="0" t="0" r="5080" b="2540"/>
                  <wp:wrapTight wrapText="bothSides">
                    <wp:wrapPolygon edited="0">
                      <wp:start x="0" y="0"/>
                      <wp:lineTo x="0" y="20994"/>
                      <wp:lineTo x="21348" y="20994"/>
                      <wp:lineTo x="21348" y="0"/>
                      <wp:lineTo x="0" y="0"/>
                    </wp:wrapPolygon>
                  </wp:wrapTight>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95070" cy="588010"/>
                          </a:xfrm>
                          <a:prstGeom prst="rect">
                            <a:avLst/>
                          </a:prstGeom>
                        </pic:spPr>
                      </pic:pic>
                    </a:graphicData>
                  </a:graphic>
                  <wp14:sizeRelH relativeFrom="page">
                    <wp14:pctWidth>0</wp14:pctWidth>
                  </wp14:sizeRelH>
                  <wp14:sizeRelV relativeFrom="page">
                    <wp14:pctHeight>0</wp14:pctHeight>
                  </wp14:sizeRelV>
                </wp:anchor>
              </w:drawing>
            </w:r>
          </w:p>
          <w:p w14:paraId="38608E6B" w14:textId="77777777" w:rsidR="002863ED" w:rsidRPr="00F10D05" w:rsidRDefault="002863ED" w:rsidP="00BC63A7">
            <w:pPr>
              <w:jc w:val="both"/>
              <w:rPr>
                <w:rFonts w:cs="Arial"/>
                <w:sz w:val="20"/>
                <w:szCs w:val="20"/>
                <w:lang w:val="hu-HU"/>
              </w:rPr>
            </w:pPr>
            <w:r w:rsidRPr="00F10D05">
              <w:rPr>
                <w:rFonts w:cs="Arial"/>
                <w:sz w:val="20"/>
                <w:szCs w:val="20"/>
                <w:lang w:val="hu-HU"/>
              </w:rPr>
              <w:t>A maradék festéket tartsa jól szellőző helyen, védje a fagytól és az erős napsütéstől. A festéket ne öntse a lefolyóba, vagy természetes vizekbe.</w:t>
            </w:r>
          </w:p>
          <w:p w14:paraId="5028B76D" w14:textId="530AD8D6" w:rsidR="002863ED" w:rsidRPr="00F10D05" w:rsidRDefault="002863ED" w:rsidP="00BC63A7">
            <w:pPr>
              <w:spacing w:before="120" w:after="120"/>
              <w:jc w:val="both"/>
              <w:rPr>
                <w:rFonts w:cs="Arial"/>
                <w:sz w:val="20"/>
                <w:szCs w:val="20"/>
                <w:lang w:val="hu-HU"/>
              </w:rPr>
            </w:pPr>
            <w:r w:rsidRPr="00F10D05">
              <w:rPr>
                <w:rFonts w:cs="Arial"/>
                <w:sz w:val="20"/>
                <w:szCs w:val="20"/>
                <w:lang w:val="hu-HU"/>
              </w:rPr>
              <w:t xml:space="preserve">Ha befejezte a festést, a szerszámokban maradt festéket újságpapírral itassa fel. A tartalom/edény elhelyezése hulladékként: valamennyi helyi, nemzeti, és nemzetközi szabályozás szerint. </w:t>
            </w:r>
          </w:p>
        </w:tc>
      </w:tr>
      <w:tr w:rsidR="002863ED" w:rsidRPr="00F10D05" w14:paraId="41F26FDE" w14:textId="77777777" w:rsidTr="002863ED">
        <w:tc>
          <w:tcPr>
            <w:tcW w:w="3261" w:type="dxa"/>
          </w:tcPr>
          <w:p w14:paraId="1149F515" w14:textId="2D67F0E0" w:rsidR="002863ED" w:rsidRPr="00F10D05" w:rsidRDefault="002863ED" w:rsidP="00BC63A7">
            <w:pPr>
              <w:spacing w:before="120" w:after="120"/>
              <w:jc w:val="both"/>
              <w:rPr>
                <w:rFonts w:cs="Arial"/>
                <w:sz w:val="20"/>
                <w:szCs w:val="20"/>
                <w:lang w:val="hu-HU"/>
              </w:rPr>
            </w:pPr>
            <w:r w:rsidRPr="00F10D05">
              <w:rPr>
                <w:rFonts w:cs="Arial"/>
                <w:sz w:val="20"/>
                <w:szCs w:val="20"/>
                <w:lang w:val="hu-HU"/>
              </w:rPr>
              <w:t>Kiegészítő információ</w:t>
            </w:r>
          </w:p>
        </w:tc>
        <w:tc>
          <w:tcPr>
            <w:tcW w:w="7087" w:type="dxa"/>
          </w:tcPr>
          <w:p w14:paraId="5D4BD9E1" w14:textId="07908A95" w:rsidR="002863ED" w:rsidRPr="00F10D05" w:rsidRDefault="002863ED" w:rsidP="00BC63A7">
            <w:pPr>
              <w:spacing w:before="120" w:after="120"/>
              <w:jc w:val="both"/>
              <w:rPr>
                <w:rFonts w:cs="Arial"/>
                <w:sz w:val="20"/>
                <w:szCs w:val="20"/>
                <w:lang w:val="hu-HU"/>
              </w:rPr>
            </w:pPr>
            <w:r w:rsidRPr="00F10D05">
              <w:rPr>
                <w:rFonts w:cs="Arial"/>
                <w:noProof/>
                <w:sz w:val="20"/>
                <w:szCs w:val="20"/>
                <w:lang w:val="hu-HU"/>
              </w:rPr>
              <w:t>A technikai adatlap információi jelenlegi tudásunk és a vonatkozó jogszabályok szerint pontosak és megfelelnek a valóságnak, de a gyártó felelősségét nem alapozza meg pl. a raktározási, tárolási, szállítási, felhasználási követelmények be nem tartásából adódóan keletkezett következményekért, mert ezen követelmények betartása nem tartozik jogi értelemben a gyártó hatáskörébe. A termék eredeti céljától eltérő módon és az előírásoktól eltérő felhasználásból adódó károkért a gyártó nem felelős. A technikai adatlap információnak célja, hogy a termék feldolgozására, tárolására és használatára vonatkozóan - jelenlegi tudásunk alapján - általános iránymutatást adjanak. Minden esetben tartsa be a vonatkozó jogszabályokat és tartsa tiszteletben a harmadik személyek jogait. Fenntartjuk a jogot az adatlap előzetes értesítés nélküli megváltoztatására.</w:t>
            </w:r>
          </w:p>
        </w:tc>
      </w:tr>
      <w:tr w:rsidR="002863ED" w:rsidRPr="00F10D05" w14:paraId="14FFB5A3" w14:textId="77777777" w:rsidTr="002863ED">
        <w:tc>
          <w:tcPr>
            <w:tcW w:w="3261" w:type="dxa"/>
          </w:tcPr>
          <w:p w14:paraId="0CBA7D68" w14:textId="4F213B5D" w:rsidR="002863ED" w:rsidRPr="00F10D05" w:rsidRDefault="002863ED" w:rsidP="00BC63A7">
            <w:pPr>
              <w:spacing w:before="120" w:after="120"/>
              <w:jc w:val="both"/>
              <w:rPr>
                <w:rFonts w:cs="Arial"/>
                <w:sz w:val="20"/>
                <w:szCs w:val="20"/>
                <w:lang w:val="hu-HU"/>
              </w:rPr>
            </w:pPr>
            <w:r w:rsidRPr="00F10D05">
              <w:rPr>
                <w:rFonts w:cs="Arial"/>
                <w:sz w:val="20"/>
                <w:szCs w:val="20"/>
                <w:lang w:val="hu-HU"/>
              </w:rPr>
              <w:t>Építési termék tájékoztató</w:t>
            </w:r>
          </w:p>
        </w:tc>
        <w:tc>
          <w:tcPr>
            <w:tcW w:w="7087" w:type="dxa"/>
          </w:tcPr>
          <w:p w14:paraId="48EF3254" w14:textId="6AB01780" w:rsidR="002863ED" w:rsidRPr="00F10D05" w:rsidRDefault="002863ED" w:rsidP="00BC63A7">
            <w:pPr>
              <w:jc w:val="both"/>
              <w:rPr>
                <w:rFonts w:cs="Arial"/>
                <w:b/>
                <w:bCs/>
                <w:noProof/>
                <w:sz w:val="20"/>
                <w:szCs w:val="20"/>
                <w:lang w:val="hu-HU"/>
              </w:rPr>
            </w:pPr>
            <w:r w:rsidRPr="00F10D05">
              <w:rPr>
                <w:rFonts w:cs="Arial"/>
                <w:noProof/>
                <w:sz w:val="20"/>
                <w:szCs w:val="20"/>
                <w:lang w:val="hu-HU"/>
              </w:rPr>
              <w:t xml:space="preserve">Az AkzoNobel Coating Zrt. 1138 Budapest, Dunavirág u. 2-6. 1. torony 5. emelet által forgalmazott </w:t>
            </w:r>
            <w:r w:rsidRPr="00F10D05">
              <w:rPr>
                <w:rFonts w:cs="Arial"/>
                <w:b/>
                <w:bCs/>
                <w:noProof/>
                <w:sz w:val="20"/>
                <w:szCs w:val="20"/>
                <w:lang w:val="hu-HU"/>
              </w:rPr>
              <w:t xml:space="preserve">Sadolin </w:t>
            </w:r>
            <w:r w:rsidR="00681E59" w:rsidRPr="00F10D05">
              <w:rPr>
                <w:rFonts w:cs="Arial"/>
                <w:b/>
                <w:bCs/>
                <w:noProof/>
                <w:sz w:val="20"/>
                <w:szCs w:val="20"/>
                <w:lang w:val="hu-HU"/>
              </w:rPr>
              <w:t>Extra</w:t>
            </w:r>
            <w:r w:rsidRPr="00F10D05">
              <w:rPr>
                <w:rFonts w:cs="Arial"/>
                <w:b/>
                <w:bCs/>
                <w:noProof/>
                <w:sz w:val="20"/>
                <w:szCs w:val="20"/>
                <w:lang w:val="hu-HU"/>
              </w:rPr>
              <w:t xml:space="preserve"> </w:t>
            </w:r>
            <w:r w:rsidRPr="00F10D05">
              <w:rPr>
                <w:rFonts w:cs="Arial"/>
                <w:noProof/>
                <w:sz w:val="20"/>
                <w:szCs w:val="20"/>
                <w:lang w:val="hu-HU"/>
              </w:rPr>
              <w:t xml:space="preserve">termék az építési termékek forgalmazására vonatkozó harmonizált feltételek megállapításáról és a 89/106/EGK tanácsi irányelv hatályon kívül helyezéséről szóló, AZ EURÓPAI PARLAMENT ÉS A TANÁCS 305/2011/EU RENDELETE (2011. március 9.) (EGT-vonatkozású szöveg) 2. Cikk 1. pontja értelmében </w:t>
            </w:r>
            <w:r w:rsidRPr="00F10D05">
              <w:rPr>
                <w:rFonts w:cs="Arial"/>
                <w:b/>
                <w:bCs/>
                <w:noProof/>
                <w:sz w:val="20"/>
                <w:szCs w:val="20"/>
                <w:lang w:val="hu-HU"/>
              </w:rPr>
              <w:t>nem minősül építési terméknek</w:t>
            </w:r>
          </w:p>
          <w:p w14:paraId="1B6AAEAA" w14:textId="77777777" w:rsidR="002863ED" w:rsidRPr="00F10D05" w:rsidRDefault="002863ED" w:rsidP="00BC63A7">
            <w:pPr>
              <w:jc w:val="both"/>
              <w:rPr>
                <w:rFonts w:cs="Arial"/>
                <w:noProof/>
                <w:sz w:val="20"/>
                <w:szCs w:val="20"/>
                <w:lang w:val="hu-HU"/>
              </w:rPr>
            </w:pPr>
            <w:r w:rsidRPr="00F10D05">
              <w:rPr>
                <w:rFonts w:cs="Arial"/>
                <w:noProof/>
                <w:sz w:val="20"/>
                <w:szCs w:val="20"/>
                <w:lang w:val="hu-HU"/>
              </w:rPr>
              <w:t>E rendelet alkalmazásában:</w:t>
            </w:r>
          </w:p>
          <w:p w14:paraId="66BB63AE" w14:textId="77777777" w:rsidR="002863ED" w:rsidRPr="00F10D05" w:rsidRDefault="002863ED" w:rsidP="00BC63A7">
            <w:pPr>
              <w:jc w:val="both"/>
              <w:rPr>
                <w:rFonts w:cs="Arial"/>
                <w:noProof/>
                <w:sz w:val="20"/>
                <w:szCs w:val="20"/>
                <w:lang w:val="hu-HU"/>
              </w:rPr>
            </w:pPr>
            <w:r w:rsidRPr="00F10D05">
              <w:rPr>
                <w:rFonts w:cs="Arial"/>
                <w:noProof/>
                <w:sz w:val="20"/>
                <w:szCs w:val="20"/>
                <w:lang w:val="hu-HU"/>
              </w:rPr>
              <w:t>1. „építési termék”: bármely olyan termék vagy készlet, amelyet azért állítottak elő és hoztak forgalomba, hogy építményekbe vagy építmények részeibe állandó jelleggel beépítsék, és amelynek teljesítménye befolyásolja az építménynek az építményekkel kapcsolatos alapvető követelmények tekintetében nyújtott teljesítményét.</w:t>
            </w:r>
          </w:p>
          <w:p w14:paraId="3DEC05B1" w14:textId="77777777" w:rsidR="002863ED" w:rsidRPr="00F10D05" w:rsidRDefault="002863ED" w:rsidP="00BC63A7">
            <w:pPr>
              <w:jc w:val="both"/>
              <w:rPr>
                <w:rFonts w:cs="Arial"/>
                <w:noProof/>
                <w:sz w:val="20"/>
                <w:szCs w:val="20"/>
                <w:lang w:val="hu-HU"/>
              </w:rPr>
            </w:pPr>
            <w:r w:rsidRPr="00F10D05">
              <w:rPr>
                <w:rFonts w:cs="Arial"/>
                <w:noProof/>
                <w:sz w:val="20"/>
                <w:szCs w:val="20"/>
                <w:lang w:val="hu-HU"/>
              </w:rPr>
              <w:t>Az építési termék építménybe történő betervezésének és beépítésének, ennek során a teljesítmény igazolásának részletes szabályairól szóló 275/2013. (VII. 16.) Korm. rendelet a fogalom-meghatározás során visszautal a 305/2011/EU RENDELET szabályaira. Ezen meghatározás alapján az Akzo Nobel Coatings Zrt. által forgalmazott termékek nem tartoznak a 305/2011/EU RENDELETE hatálya alá.</w:t>
            </w:r>
          </w:p>
          <w:p w14:paraId="6969A584" w14:textId="22A33E54" w:rsidR="002863ED" w:rsidRPr="00F10D05" w:rsidRDefault="002863ED" w:rsidP="00BC63A7">
            <w:pPr>
              <w:spacing w:before="120" w:after="120"/>
              <w:jc w:val="both"/>
              <w:rPr>
                <w:rFonts w:cs="Arial"/>
                <w:sz w:val="20"/>
                <w:szCs w:val="20"/>
                <w:lang w:val="hu-HU"/>
              </w:rPr>
            </w:pPr>
            <w:r w:rsidRPr="00F10D05">
              <w:rPr>
                <w:rFonts w:cs="Arial"/>
                <w:noProof/>
                <w:sz w:val="20"/>
                <w:szCs w:val="20"/>
                <w:lang w:val="hu-HU"/>
              </w:rPr>
              <w:t xml:space="preserve">Termékeink munkavédelmi és környezetvédelmi jellemzőit a termék </w:t>
            </w:r>
            <w:r w:rsidRPr="00F10D05">
              <w:rPr>
                <w:rFonts w:cs="Arial"/>
                <w:b/>
                <w:bCs/>
                <w:noProof/>
                <w:sz w:val="20"/>
                <w:szCs w:val="20"/>
                <w:lang w:val="hu-HU"/>
              </w:rPr>
              <w:t>Biztonsági adatlapja</w:t>
            </w:r>
            <w:r w:rsidRPr="00F10D05">
              <w:rPr>
                <w:rFonts w:cs="Arial"/>
                <w:noProof/>
                <w:sz w:val="20"/>
                <w:szCs w:val="20"/>
                <w:lang w:val="hu-HU"/>
              </w:rPr>
              <w:t xml:space="preserve"> tartalmazza, mely elérhető és letölthető a </w:t>
            </w:r>
            <w:hyperlink r:id="rId17" w:history="1">
              <w:r w:rsidRPr="00F10D05">
                <w:rPr>
                  <w:rStyle w:val="Hyperlink"/>
                  <w:rFonts w:cs="Arial"/>
                  <w:noProof/>
                  <w:sz w:val="20"/>
                  <w:szCs w:val="20"/>
                  <w:lang w:val="hu-HU"/>
                </w:rPr>
                <w:t>https://shop.akzonobel.hu/safety-documents</w:t>
              </w:r>
            </w:hyperlink>
            <w:r w:rsidRPr="00F10D05">
              <w:rPr>
                <w:rFonts w:cs="Arial"/>
                <w:noProof/>
                <w:sz w:val="20"/>
                <w:szCs w:val="20"/>
                <w:lang w:val="hu-HU"/>
              </w:rPr>
              <w:t xml:space="preserve"> honlapon, a felhasználási módjáról, műszaki paraméterekről pedig a termék </w:t>
            </w:r>
            <w:r w:rsidRPr="00F10D05">
              <w:rPr>
                <w:rFonts w:cs="Arial"/>
                <w:b/>
                <w:bCs/>
                <w:noProof/>
                <w:sz w:val="20"/>
                <w:szCs w:val="20"/>
                <w:lang w:val="hu-HU"/>
              </w:rPr>
              <w:t>címkéjén</w:t>
            </w:r>
            <w:r w:rsidRPr="00F10D05">
              <w:rPr>
                <w:rFonts w:cs="Arial"/>
                <w:noProof/>
                <w:sz w:val="20"/>
                <w:szCs w:val="20"/>
                <w:lang w:val="hu-HU"/>
              </w:rPr>
              <w:t xml:space="preserve"> vagy a </w:t>
            </w:r>
            <w:r w:rsidRPr="00F10D05">
              <w:rPr>
                <w:rFonts w:cs="Arial"/>
                <w:b/>
                <w:bCs/>
                <w:noProof/>
                <w:sz w:val="20"/>
                <w:szCs w:val="20"/>
                <w:lang w:val="hu-HU"/>
              </w:rPr>
              <w:t>Műszaki adatlapon</w:t>
            </w:r>
            <w:r w:rsidRPr="00F10D05">
              <w:rPr>
                <w:rFonts w:cs="Arial"/>
                <w:noProof/>
                <w:sz w:val="20"/>
                <w:szCs w:val="20"/>
                <w:lang w:val="hu-HU"/>
              </w:rPr>
              <w:t xml:space="preserve"> találhat információkat. (Nyilatkozat a mellékletben).</w:t>
            </w:r>
          </w:p>
        </w:tc>
      </w:tr>
      <w:tr w:rsidR="002863ED" w:rsidRPr="00F10D05" w14:paraId="507D766F" w14:textId="6B9AECFC" w:rsidTr="002863ED">
        <w:tc>
          <w:tcPr>
            <w:tcW w:w="3261" w:type="dxa"/>
          </w:tcPr>
          <w:p w14:paraId="68C85FD9" w14:textId="76E47510" w:rsidR="002863ED" w:rsidRPr="00F10D05" w:rsidRDefault="002863ED" w:rsidP="00BC63A7">
            <w:pPr>
              <w:spacing w:before="120" w:after="120"/>
              <w:jc w:val="both"/>
              <w:rPr>
                <w:rFonts w:cs="Arial"/>
                <w:sz w:val="20"/>
                <w:szCs w:val="20"/>
                <w:lang w:val="hu-HU"/>
              </w:rPr>
            </w:pPr>
            <w:r w:rsidRPr="00F10D05">
              <w:rPr>
                <w:rFonts w:cs="Arial"/>
                <w:sz w:val="20"/>
                <w:szCs w:val="20"/>
                <w:lang w:val="hu-HU"/>
              </w:rPr>
              <w:t>Kapcsolat</w:t>
            </w:r>
          </w:p>
        </w:tc>
        <w:tc>
          <w:tcPr>
            <w:tcW w:w="7087" w:type="dxa"/>
          </w:tcPr>
          <w:p w14:paraId="356BD9E7" w14:textId="68AE0D7B" w:rsidR="002863ED" w:rsidRPr="00F10D05" w:rsidRDefault="002863ED" w:rsidP="00BC63A7">
            <w:pPr>
              <w:jc w:val="both"/>
              <w:rPr>
                <w:rFonts w:cs="Arial"/>
                <w:noProof/>
                <w:sz w:val="20"/>
                <w:szCs w:val="20"/>
                <w:lang w:val="hu-HU"/>
              </w:rPr>
            </w:pPr>
            <w:r w:rsidRPr="00F10D05">
              <w:rPr>
                <w:rFonts w:cs="Arial"/>
                <w:noProof/>
                <w:sz w:val="20"/>
                <w:szCs w:val="20"/>
                <w:lang w:val="hu-HU"/>
              </w:rPr>
              <w:t>Forgalmazó: AkzoNobel Coatings Zrt.</w:t>
            </w:r>
          </w:p>
          <w:p w14:paraId="05934CC3" w14:textId="020D71FE" w:rsidR="002863ED" w:rsidRPr="00F10D05" w:rsidRDefault="002863ED" w:rsidP="00BC63A7">
            <w:pPr>
              <w:jc w:val="both"/>
              <w:rPr>
                <w:rFonts w:cs="Arial"/>
                <w:noProof/>
                <w:sz w:val="20"/>
                <w:szCs w:val="20"/>
                <w:lang w:val="hu-HU"/>
              </w:rPr>
            </w:pPr>
            <w:r w:rsidRPr="00F10D05">
              <w:rPr>
                <w:rFonts w:cs="Arial"/>
                <w:noProof/>
                <w:sz w:val="20"/>
                <w:szCs w:val="20"/>
                <w:lang w:val="hu-HU"/>
              </w:rPr>
              <w:t>Cím: 1138 Budapest, Dunavirág utca 2-6. 1. ép. V. em</w:t>
            </w:r>
          </w:p>
          <w:p w14:paraId="6A120602" w14:textId="17215E5A" w:rsidR="002863ED" w:rsidRPr="00F10D05" w:rsidRDefault="002863ED" w:rsidP="00875E42">
            <w:pPr>
              <w:jc w:val="both"/>
              <w:rPr>
                <w:rFonts w:cs="Arial"/>
                <w:noProof/>
                <w:sz w:val="20"/>
                <w:szCs w:val="20"/>
                <w:lang w:val="hu-HU"/>
              </w:rPr>
            </w:pPr>
            <w:r w:rsidRPr="00F10D05">
              <w:rPr>
                <w:rFonts w:cs="Arial"/>
                <w:noProof/>
                <w:sz w:val="20"/>
                <w:szCs w:val="20"/>
                <w:lang w:val="hu-HU"/>
              </w:rPr>
              <w:t>Infovonal:</w:t>
            </w:r>
            <w:r w:rsidR="00392A27" w:rsidRPr="00F10D05">
              <w:rPr>
                <w:rFonts w:cs="Arial"/>
                <w:noProof/>
                <w:sz w:val="20"/>
                <w:szCs w:val="20"/>
                <w:lang w:val="hu-HU"/>
              </w:rPr>
              <w:t xml:space="preserve"> </w:t>
            </w:r>
            <w:r w:rsidRPr="00F10D05">
              <w:rPr>
                <w:rFonts w:cs="Arial"/>
                <w:noProof/>
                <w:sz w:val="20"/>
                <w:szCs w:val="20"/>
                <w:lang w:val="hu-HU"/>
              </w:rPr>
              <w:t>06 80 200 505</w:t>
            </w:r>
          </w:p>
        </w:tc>
      </w:tr>
      <w:tr w:rsidR="002863ED" w:rsidRPr="00F10D05" w14:paraId="24F1C629" w14:textId="77777777" w:rsidTr="002863ED">
        <w:tc>
          <w:tcPr>
            <w:tcW w:w="3261" w:type="dxa"/>
          </w:tcPr>
          <w:p w14:paraId="783555E4" w14:textId="3D562EB0" w:rsidR="002863ED" w:rsidRPr="00F10D05" w:rsidRDefault="002863ED" w:rsidP="00BC63A7">
            <w:pPr>
              <w:spacing w:before="120" w:after="120"/>
              <w:jc w:val="both"/>
              <w:rPr>
                <w:rFonts w:cs="Arial"/>
                <w:sz w:val="20"/>
                <w:szCs w:val="20"/>
                <w:lang w:val="hu-HU"/>
              </w:rPr>
            </w:pPr>
            <w:r w:rsidRPr="00F10D05">
              <w:rPr>
                <w:rFonts w:cs="Arial"/>
                <w:sz w:val="20"/>
                <w:szCs w:val="20"/>
                <w:lang w:val="hu-HU"/>
              </w:rPr>
              <w:t>Frissítés dátuma:</w:t>
            </w:r>
          </w:p>
        </w:tc>
        <w:tc>
          <w:tcPr>
            <w:tcW w:w="7087" w:type="dxa"/>
          </w:tcPr>
          <w:p w14:paraId="312CF64D" w14:textId="52D06250" w:rsidR="002863ED" w:rsidRPr="00F10D05" w:rsidRDefault="002863ED" w:rsidP="00BC63A7">
            <w:pPr>
              <w:spacing w:before="120" w:after="120"/>
              <w:jc w:val="both"/>
              <w:rPr>
                <w:rFonts w:cs="Arial"/>
                <w:sz w:val="20"/>
                <w:szCs w:val="20"/>
                <w:lang w:val="hu-HU"/>
              </w:rPr>
            </w:pPr>
            <w:r w:rsidRPr="00F10D05">
              <w:rPr>
                <w:rFonts w:cs="Arial"/>
                <w:noProof/>
                <w:sz w:val="20"/>
                <w:szCs w:val="20"/>
                <w:lang w:val="hu-HU"/>
              </w:rPr>
              <w:t>2023.07.01.</w:t>
            </w:r>
          </w:p>
        </w:tc>
      </w:tr>
    </w:tbl>
    <w:p w14:paraId="658920DE" w14:textId="77777777" w:rsidR="00875E42" w:rsidRPr="00F10D05" w:rsidRDefault="00875E42">
      <w:pPr>
        <w:rPr>
          <w:rFonts w:ascii="Arial" w:hAnsi="Arial" w:cs="Arial"/>
          <w:sz w:val="20"/>
          <w:szCs w:val="20"/>
        </w:rPr>
      </w:pPr>
    </w:p>
    <w:p w14:paraId="6574CBDF" w14:textId="77777777" w:rsidR="00875E42" w:rsidRPr="00F10D05" w:rsidRDefault="00875E42" w:rsidP="00875E42">
      <w:pPr>
        <w:rPr>
          <w:rFonts w:ascii="Arial" w:hAnsi="Arial" w:cs="Arial"/>
          <w:sz w:val="20"/>
          <w:szCs w:val="20"/>
        </w:rPr>
      </w:pPr>
      <w:r w:rsidRPr="00F10D05">
        <w:rPr>
          <w:rFonts w:ascii="Arial" w:hAnsi="Arial" w:cs="Arial"/>
          <w:sz w:val="20"/>
          <w:szCs w:val="20"/>
        </w:rPr>
        <w:t>Melléklet: Nyilatkozat</w:t>
      </w:r>
    </w:p>
    <w:p w14:paraId="4CBE2651" w14:textId="77777777" w:rsidR="00875E42" w:rsidRPr="00F10D05" w:rsidRDefault="00875E42" w:rsidP="00875E42">
      <w:pPr>
        <w:jc w:val="center"/>
        <w:rPr>
          <w:rFonts w:ascii="Arial" w:hAnsi="Arial" w:cs="Arial"/>
          <w:sz w:val="20"/>
          <w:szCs w:val="20"/>
        </w:rPr>
      </w:pPr>
      <w:r w:rsidRPr="00F10D05">
        <w:rPr>
          <w:rFonts w:ascii="Arial" w:hAnsi="Arial" w:cs="Arial"/>
          <w:sz w:val="20"/>
          <w:szCs w:val="20"/>
        </w:rPr>
        <w:t>NYILATKOZAT</w:t>
      </w:r>
    </w:p>
    <w:p w14:paraId="35D0D861" w14:textId="00826E93" w:rsidR="00875E42" w:rsidRPr="00F10D05" w:rsidRDefault="00875E42" w:rsidP="00875E42">
      <w:pPr>
        <w:jc w:val="both"/>
        <w:rPr>
          <w:rFonts w:ascii="Arial" w:hAnsi="Arial" w:cs="Arial"/>
          <w:b/>
          <w:bCs/>
          <w:sz w:val="20"/>
          <w:szCs w:val="20"/>
        </w:rPr>
      </w:pPr>
      <w:r w:rsidRPr="00F10D05">
        <w:rPr>
          <w:rFonts w:ascii="Arial" w:hAnsi="Arial" w:cs="Arial"/>
          <w:sz w:val="20"/>
          <w:szCs w:val="20"/>
        </w:rPr>
        <w:t xml:space="preserve">1. A termék megnevezése: </w:t>
      </w:r>
      <w:r w:rsidR="00A756AC" w:rsidRPr="00F10D05">
        <w:rPr>
          <w:rFonts w:ascii="Arial" w:hAnsi="Arial" w:cs="Arial"/>
          <w:b/>
          <w:bCs/>
          <w:sz w:val="20"/>
          <w:szCs w:val="20"/>
        </w:rPr>
        <w:t xml:space="preserve">Sadolin </w:t>
      </w:r>
      <w:r w:rsidR="00A54501" w:rsidRPr="00F10D05">
        <w:rPr>
          <w:rFonts w:ascii="Arial" w:hAnsi="Arial" w:cs="Arial"/>
          <w:b/>
          <w:bCs/>
          <w:sz w:val="20"/>
          <w:szCs w:val="20"/>
        </w:rPr>
        <w:t>Extra</w:t>
      </w:r>
    </w:p>
    <w:p w14:paraId="2809CABF"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 xml:space="preserve">2. A gyártás azonosító adatai: </w:t>
      </w:r>
      <w:r w:rsidRPr="00F10D05">
        <w:rPr>
          <w:rFonts w:ascii="Arial" w:hAnsi="Arial" w:cs="Arial"/>
          <w:b/>
          <w:bCs/>
          <w:iCs/>
          <w:sz w:val="20"/>
          <w:szCs w:val="20"/>
        </w:rPr>
        <w:t>A termék címkéjén jelölve.</w:t>
      </w:r>
    </w:p>
    <w:p w14:paraId="485F5F94" w14:textId="735F4083" w:rsidR="00683771" w:rsidRPr="00F10D05" w:rsidRDefault="00875E42" w:rsidP="00A756AC">
      <w:pPr>
        <w:jc w:val="both"/>
        <w:rPr>
          <w:rFonts w:ascii="Arial" w:hAnsi="Arial" w:cs="Arial"/>
          <w:iCs/>
          <w:sz w:val="20"/>
          <w:szCs w:val="20"/>
        </w:rPr>
      </w:pPr>
      <w:r w:rsidRPr="00F10D05">
        <w:rPr>
          <w:rFonts w:ascii="Arial" w:hAnsi="Arial" w:cs="Arial"/>
          <w:sz w:val="20"/>
          <w:szCs w:val="20"/>
        </w:rPr>
        <w:t xml:space="preserve">3. A termék rendeltetése, felhasználási területei: </w:t>
      </w:r>
      <w:r w:rsidR="00A54501" w:rsidRPr="00F10D05">
        <w:rPr>
          <w:rFonts w:ascii="Arial" w:hAnsi="Arial" w:cs="Arial"/>
          <w:sz w:val="20"/>
          <w:szCs w:val="20"/>
        </w:rPr>
        <w:t>O</w:t>
      </w:r>
      <w:r w:rsidR="00683771" w:rsidRPr="00F10D05">
        <w:rPr>
          <w:rFonts w:ascii="Arial" w:hAnsi="Arial" w:cs="Arial"/>
          <w:sz w:val="20"/>
          <w:szCs w:val="20"/>
        </w:rPr>
        <w:t xml:space="preserve">ldószeres, selyemfényű </w:t>
      </w:r>
      <w:r w:rsidR="00080820">
        <w:rPr>
          <w:rFonts w:ascii="Arial" w:hAnsi="Arial" w:cs="Arial"/>
          <w:sz w:val="20"/>
          <w:szCs w:val="20"/>
        </w:rPr>
        <w:t>vastag</w:t>
      </w:r>
      <w:r w:rsidR="00D73A8B" w:rsidRPr="00F10D05">
        <w:rPr>
          <w:rFonts w:ascii="Arial" w:hAnsi="Arial" w:cs="Arial"/>
          <w:sz w:val="20"/>
          <w:szCs w:val="20"/>
        </w:rPr>
        <w:t xml:space="preserve">lazúr. </w:t>
      </w:r>
    </w:p>
    <w:p w14:paraId="0405D6CB" w14:textId="197C15DC" w:rsidR="00875E42" w:rsidRPr="00F10D05" w:rsidRDefault="00875E42" w:rsidP="00A756AC">
      <w:pPr>
        <w:jc w:val="both"/>
        <w:rPr>
          <w:rFonts w:ascii="Arial" w:hAnsi="Arial" w:cs="Arial"/>
          <w:sz w:val="20"/>
          <w:szCs w:val="20"/>
        </w:rPr>
      </w:pPr>
      <w:r w:rsidRPr="00F10D05">
        <w:rPr>
          <w:rFonts w:ascii="Arial" w:hAnsi="Arial" w:cs="Arial"/>
          <w:iCs/>
          <w:sz w:val="20"/>
          <w:szCs w:val="20"/>
        </w:rPr>
        <w:t>4.</w:t>
      </w:r>
      <w:r w:rsidRPr="00F10D05">
        <w:rPr>
          <w:rFonts w:ascii="Arial" w:hAnsi="Arial" w:cs="Arial"/>
          <w:b/>
          <w:bCs/>
          <w:iCs/>
          <w:sz w:val="20"/>
          <w:szCs w:val="20"/>
        </w:rPr>
        <w:t xml:space="preserve"> </w:t>
      </w:r>
      <w:r w:rsidRPr="00F10D05">
        <w:rPr>
          <w:rFonts w:ascii="Arial" w:hAnsi="Arial" w:cs="Arial"/>
          <w:sz w:val="20"/>
          <w:szCs w:val="20"/>
        </w:rPr>
        <w:t>A forgalmazó neve, értesítési címe:</w:t>
      </w:r>
      <w:r w:rsidRPr="00F10D05">
        <w:rPr>
          <w:rFonts w:ascii="Arial" w:hAnsi="Arial" w:cs="Arial"/>
          <w:sz w:val="20"/>
          <w:szCs w:val="20"/>
        </w:rPr>
        <w:tab/>
      </w:r>
    </w:p>
    <w:p w14:paraId="6F0DCFBB" w14:textId="77777777" w:rsidR="00875E42" w:rsidRPr="00F10D05" w:rsidRDefault="00875E42" w:rsidP="00875E42">
      <w:pPr>
        <w:spacing w:after="0" w:line="240" w:lineRule="auto"/>
        <w:ind w:left="2880" w:firstLine="720"/>
        <w:rPr>
          <w:rFonts w:ascii="Arial" w:hAnsi="Arial" w:cs="Arial"/>
          <w:b/>
          <w:bCs/>
          <w:iCs/>
          <w:sz w:val="20"/>
          <w:szCs w:val="20"/>
        </w:rPr>
      </w:pPr>
      <w:r w:rsidRPr="00F10D05">
        <w:rPr>
          <w:rFonts w:ascii="Arial" w:hAnsi="Arial" w:cs="Arial"/>
          <w:b/>
          <w:bCs/>
          <w:iCs/>
          <w:sz w:val="20"/>
          <w:szCs w:val="20"/>
        </w:rPr>
        <w:t xml:space="preserve">Akzo Nobel </w:t>
      </w:r>
      <w:proofErr w:type="spellStart"/>
      <w:r w:rsidRPr="00F10D05">
        <w:rPr>
          <w:rFonts w:ascii="Arial" w:hAnsi="Arial" w:cs="Arial"/>
          <w:b/>
          <w:bCs/>
          <w:iCs/>
          <w:sz w:val="20"/>
          <w:szCs w:val="20"/>
        </w:rPr>
        <w:t>Coatings</w:t>
      </w:r>
      <w:proofErr w:type="spellEnd"/>
      <w:r w:rsidRPr="00F10D05">
        <w:rPr>
          <w:rFonts w:ascii="Arial" w:hAnsi="Arial" w:cs="Arial"/>
          <w:b/>
          <w:bCs/>
          <w:iCs/>
          <w:sz w:val="20"/>
          <w:szCs w:val="20"/>
        </w:rPr>
        <w:t xml:space="preserve"> Zrt.</w:t>
      </w:r>
    </w:p>
    <w:p w14:paraId="7FE73CA7"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1138 Budapest, Dunavirág utca 2-6. 1. ép. V. em.</w:t>
      </w:r>
    </w:p>
    <w:p w14:paraId="650EDF75"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Tel: 06 80 200-505</w:t>
      </w:r>
    </w:p>
    <w:p w14:paraId="069F7109" w14:textId="77777777" w:rsidR="00875E42" w:rsidRPr="00F10D05" w:rsidRDefault="00875E42" w:rsidP="00875E42">
      <w:pPr>
        <w:spacing w:after="0" w:line="240" w:lineRule="auto"/>
        <w:ind w:left="2880" w:firstLine="720"/>
        <w:jc w:val="both"/>
        <w:rPr>
          <w:rFonts w:ascii="Arial" w:hAnsi="Arial" w:cs="Arial"/>
          <w:b/>
          <w:bCs/>
          <w:iCs/>
          <w:sz w:val="20"/>
          <w:szCs w:val="20"/>
        </w:rPr>
      </w:pPr>
    </w:p>
    <w:p w14:paraId="2DC01E78"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5. A forgalmazó képviselőjének neve és értesítési címe, akihez bővebb felvilágosításért fordulhat:</w:t>
      </w:r>
    </w:p>
    <w:p w14:paraId="3E5D9DE9"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Bernáth Roland</w:t>
      </w:r>
    </w:p>
    <w:p w14:paraId="287FD5F4" w14:textId="77777777" w:rsidR="00875E42" w:rsidRPr="00F10D05" w:rsidRDefault="00875E42" w:rsidP="00875E42">
      <w:pPr>
        <w:spacing w:after="0" w:line="240" w:lineRule="auto"/>
        <w:ind w:left="2880" w:firstLine="720"/>
        <w:jc w:val="both"/>
        <w:rPr>
          <w:rFonts w:ascii="Arial" w:hAnsi="Arial" w:cs="Arial"/>
          <w:iCs/>
          <w:sz w:val="20"/>
          <w:szCs w:val="20"/>
        </w:rPr>
      </w:pPr>
      <w:r w:rsidRPr="00F10D05">
        <w:rPr>
          <w:rFonts w:ascii="Arial" w:hAnsi="Arial" w:cs="Arial"/>
          <w:iCs/>
          <w:sz w:val="20"/>
          <w:szCs w:val="20"/>
        </w:rPr>
        <w:t>Alkalmazástechnikus</w:t>
      </w:r>
    </w:p>
    <w:p w14:paraId="4B3FB11B" w14:textId="77777777" w:rsidR="00875E42" w:rsidRPr="00F10D05" w:rsidRDefault="00875E42" w:rsidP="00875E42">
      <w:pPr>
        <w:spacing w:after="0" w:line="240" w:lineRule="auto"/>
        <w:ind w:left="2880" w:firstLine="720"/>
        <w:jc w:val="both"/>
        <w:rPr>
          <w:rFonts w:ascii="Arial" w:hAnsi="Arial" w:cs="Arial"/>
          <w:b/>
          <w:bCs/>
          <w:iCs/>
          <w:sz w:val="20"/>
          <w:szCs w:val="20"/>
        </w:rPr>
      </w:pPr>
      <w:r w:rsidRPr="00F10D05">
        <w:rPr>
          <w:rFonts w:ascii="Arial" w:hAnsi="Arial" w:cs="Arial"/>
          <w:b/>
          <w:bCs/>
          <w:iCs/>
          <w:sz w:val="20"/>
          <w:szCs w:val="20"/>
        </w:rPr>
        <w:t>06 30 968-0704</w:t>
      </w:r>
    </w:p>
    <w:p w14:paraId="657A2CE0" w14:textId="77777777" w:rsidR="00875E42" w:rsidRPr="00F10D05" w:rsidRDefault="00875E42" w:rsidP="00875E42">
      <w:pPr>
        <w:spacing w:after="100" w:afterAutospacing="1" w:line="240" w:lineRule="auto"/>
        <w:ind w:left="2880" w:firstLine="720"/>
        <w:jc w:val="both"/>
        <w:rPr>
          <w:rFonts w:ascii="Arial" w:hAnsi="Arial" w:cs="Arial"/>
          <w:b/>
          <w:bCs/>
          <w:iCs/>
          <w:sz w:val="20"/>
          <w:szCs w:val="20"/>
        </w:rPr>
      </w:pPr>
      <w:r w:rsidRPr="00F10D05">
        <w:rPr>
          <w:rFonts w:ascii="Arial" w:hAnsi="Arial" w:cs="Arial"/>
          <w:b/>
          <w:bCs/>
          <w:iCs/>
          <w:sz w:val="20"/>
          <w:szCs w:val="20"/>
        </w:rPr>
        <w:t>roland.bernath@akzonobel.com</w:t>
      </w:r>
    </w:p>
    <w:p w14:paraId="1B1885F0"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6. A Forgalmazó a termék műszaki adatait, felhasználási javaslatokat és iránymutatásokat a termék címkéjén és MŰSZAKI ADATLAPJÁN, valamint a 2015/830 EU rendelet szerint készült és a shop.akzonobel.hu honlapon közzétett BIZTONSÁGI ADATLAPON teszi közzé, ezen közzétett műszaki jellemzőkkel és műszaki adatokkal rendelkezik a forgalomba hozott termék.</w:t>
      </w:r>
    </w:p>
    <w:p w14:paraId="234A14D9" w14:textId="77777777" w:rsidR="00F2581F" w:rsidRPr="00F10D05" w:rsidRDefault="00F2581F" w:rsidP="00875E42">
      <w:pPr>
        <w:jc w:val="both"/>
        <w:rPr>
          <w:rFonts w:ascii="Arial" w:hAnsi="Arial" w:cs="Arial"/>
          <w:b/>
          <w:bCs/>
          <w:sz w:val="20"/>
          <w:szCs w:val="20"/>
        </w:rPr>
      </w:pPr>
    </w:p>
    <w:p w14:paraId="04112560" w14:textId="77777777" w:rsidR="00F2581F" w:rsidRPr="00F10D05" w:rsidRDefault="00F2581F" w:rsidP="00875E42">
      <w:pPr>
        <w:jc w:val="both"/>
        <w:rPr>
          <w:rFonts w:ascii="Arial" w:hAnsi="Arial" w:cs="Arial"/>
          <w:b/>
          <w:bCs/>
          <w:sz w:val="20"/>
          <w:szCs w:val="20"/>
        </w:rPr>
      </w:pPr>
    </w:p>
    <w:p w14:paraId="16D705A2" w14:textId="6C0E84FF" w:rsidR="00875E42" w:rsidRPr="00F10D05" w:rsidRDefault="00875E42" w:rsidP="00875E42">
      <w:pPr>
        <w:jc w:val="both"/>
        <w:rPr>
          <w:rFonts w:ascii="Arial" w:hAnsi="Arial" w:cs="Arial"/>
          <w:b/>
          <w:bCs/>
          <w:sz w:val="20"/>
          <w:szCs w:val="20"/>
        </w:rPr>
      </w:pPr>
      <w:r w:rsidRPr="00F10D05">
        <w:rPr>
          <w:rFonts w:ascii="Arial" w:hAnsi="Arial" w:cs="Arial"/>
          <w:b/>
          <w:bCs/>
          <w:sz w:val="20"/>
          <w:szCs w:val="20"/>
        </w:rPr>
        <w:t xml:space="preserve">Budapest, 2023.  </w:t>
      </w:r>
      <w:r w:rsidR="00A756AC" w:rsidRPr="00F10D05">
        <w:rPr>
          <w:rFonts w:ascii="Arial" w:hAnsi="Arial" w:cs="Arial"/>
          <w:b/>
          <w:bCs/>
          <w:sz w:val="20"/>
          <w:szCs w:val="20"/>
        </w:rPr>
        <w:t>július 1</w:t>
      </w:r>
      <w:r w:rsidRPr="00F10D05">
        <w:rPr>
          <w:rFonts w:ascii="Arial" w:hAnsi="Arial" w:cs="Arial"/>
          <w:b/>
          <w:bCs/>
          <w:sz w:val="20"/>
          <w:szCs w:val="20"/>
        </w:rPr>
        <w:t>.</w:t>
      </w:r>
    </w:p>
    <w:p w14:paraId="51FFC93B" w14:textId="77777777" w:rsidR="00875E42" w:rsidRPr="00F10D05" w:rsidRDefault="00875E42" w:rsidP="00875E42">
      <w:pPr>
        <w:jc w:val="both"/>
        <w:rPr>
          <w:rFonts w:ascii="Arial" w:hAnsi="Arial" w:cs="Arial"/>
          <w:sz w:val="20"/>
          <w:szCs w:val="20"/>
        </w:rPr>
      </w:pPr>
      <w:r w:rsidRPr="00F10D05">
        <w:rPr>
          <w:rFonts w:ascii="Arial" w:hAnsi="Arial" w:cs="Arial"/>
          <w:sz w:val="20"/>
          <w:szCs w:val="20"/>
        </w:rPr>
        <w:t xml:space="preserve">AkzoNobel </w:t>
      </w:r>
      <w:proofErr w:type="spellStart"/>
      <w:r w:rsidRPr="00F10D05">
        <w:rPr>
          <w:rFonts w:ascii="Arial" w:hAnsi="Arial" w:cs="Arial"/>
          <w:sz w:val="20"/>
          <w:szCs w:val="20"/>
        </w:rPr>
        <w:t>Coatings</w:t>
      </w:r>
      <w:proofErr w:type="spellEnd"/>
      <w:r w:rsidRPr="00F10D05">
        <w:rPr>
          <w:rFonts w:ascii="Arial" w:hAnsi="Arial" w:cs="Arial"/>
          <w:sz w:val="20"/>
          <w:szCs w:val="20"/>
        </w:rPr>
        <w:t xml:space="preserve"> Zrt. képviseletében: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493"/>
      </w:tblGrid>
      <w:tr w:rsidR="00875E42" w:rsidRPr="00F10D05" w14:paraId="70E90E90" w14:textId="77777777" w:rsidTr="007F3C9C">
        <w:tc>
          <w:tcPr>
            <w:tcW w:w="5381" w:type="dxa"/>
            <w:vAlign w:val="bottom"/>
          </w:tcPr>
          <w:p w14:paraId="5CD7AACF" w14:textId="77777777" w:rsidR="00875E42" w:rsidRPr="00F10D05" w:rsidRDefault="00875E42" w:rsidP="007F3C9C">
            <w:pPr>
              <w:jc w:val="center"/>
              <w:rPr>
                <w:rFonts w:cs="Arial"/>
                <w:sz w:val="20"/>
                <w:szCs w:val="20"/>
                <w:lang w:val="hu-HU"/>
              </w:rPr>
            </w:pPr>
            <w:r w:rsidRPr="00F10D05">
              <w:rPr>
                <w:rFonts w:cs="Arial"/>
                <w:noProof/>
                <w:sz w:val="20"/>
                <w:szCs w:val="20"/>
              </w:rPr>
              <w:drawing>
                <wp:inline distT="0" distB="0" distL="0" distR="0" wp14:anchorId="22F0F6C0" wp14:editId="1136F307">
                  <wp:extent cx="987425" cy="554990"/>
                  <wp:effectExtent l="0" t="0" r="3175" b="0"/>
                  <wp:docPr id="20" name="Kép 20" descr="A képen kézírás, kalligráfia, Betűtípu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ép 20" descr="A képen kézírás, kalligráfia, Betűtípus látható&#10;&#10;Automatikusan generált leírá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7425" cy="554990"/>
                          </a:xfrm>
                          <a:prstGeom prst="rect">
                            <a:avLst/>
                          </a:prstGeom>
                          <a:noFill/>
                        </pic:spPr>
                      </pic:pic>
                    </a:graphicData>
                  </a:graphic>
                </wp:inline>
              </w:drawing>
            </w:r>
          </w:p>
        </w:tc>
        <w:tc>
          <w:tcPr>
            <w:tcW w:w="5381" w:type="dxa"/>
            <w:vAlign w:val="bottom"/>
          </w:tcPr>
          <w:p w14:paraId="58C0A0E3" w14:textId="77777777" w:rsidR="00875E42" w:rsidRPr="00F10D05" w:rsidRDefault="00875E42" w:rsidP="007F3C9C">
            <w:pPr>
              <w:jc w:val="center"/>
              <w:rPr>
                <w:rFonts w:cs="Arial"/>
                <w:sz w:val="20"/>
                <w:szCs w:val="20"/>
                <w:lang w:val="hu-HU"/>
              </w:rPr>
            </w:pPr>
            <w:r w:rsidRPr="00F10D05">
              <w:rPr>
                <w:rFonts w:cs="Arial"/>
                <w:noProof/>
                <w:sz w:val="20"/>
                <w:szCs w:val="20"/>
              </w:rPr>
              <w:drawing>
                <wp:anchor distT="0" distB="0" distL="114300" distR="114300" simplePos="0" relativeHeight="251689472" behindDoc="1" locked="0" layoutInCell="1" allowOverlap="1" wp14:anchorId="04160DC4" wp14:editId="5D1AD0D9">
                  <wp:simplePos x="0" y="0"/>
                  <wp:positionH relativeFrom="column">
                    <wp:posOffset>1301750</wp:posOffset>
                  </wp:positionH>
                  <wp:positionV relativeFrom="paragraph">
                    <wp:posOffset>346710</wp:posOffset>
                  </wp:positionV>
                  <wp:extent cx="733425" cy="297815"/>
                  <wp:effectExtent l="0" t="0" r="9525" b="6985"/>
                  <wp:wrapThrough wrapText="bothSides">
                    <wp:wrapPolygon edited="0">
                      <wp:start x="0" y="0"/>
                      <wp:lineTo x="0" y="20725"/>
                      <wp:lineTo x="21319" y="20725"/>
                      <wp:lineTo x="21319" y="0"/>
                      <wp:lineTo x="0" y="0"/>
                    </wp:wrapPolygon>
                  </wp:wrapThrough>
                  <wp:docPr id="14" name="Kép 10" descr="A képen kézírás, kalligráfia, Betűtípus, kézzel írott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ép 10" descr="A képen kézírás, kalligráfia, Betűtípus, kézzel írott látható&#10;&#10;Automatikusan generált leírá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425" cy="297815"/>
                          </a:xfrm>
                          <a:prstGeom prst="rect">
                            <a:avLst/>
                          </a:prstGeom>
                        </pic:spPr>
                      </pic:pic>
                    </a:graphicData>
                  </a:graphic>
                  <wp14:sizeRelH relativeFrom="margin">
                    <wp14:pctWidth>0</wp14:pctWidth>
                  </wp14:sizeRelH>
                  <wp14:sizeRelV relativeFrom="margin">
                    <wp14:pctHeight>0</wp14:pctHeight>
                  </wp14:sizeRelV>
                </wp:anchor>
              </w:drawing>
            </w:r>
          </w:p>
        </w:tc>
      </w:tr>
      <w:tr w:rsidR="00875E42" w:rsidRPr="00F10D05" w14:paraId="08CFB21F" w14:textId="77777777" w:rsidTr="007F3C9C">
        <w:tc>
          <w:tcPr>
            <w:tcW w:w="5381" w:type="dxa"/>
          </w:tcPr>
          <w:p w14:paraId="37E08BF2" w14:textId="77777777" w:rsidR="00875E42" w:rsidRPr="00F10D05" w:rsidRDefault="00875E42" w:rsidP="007F3C9C">
            <w:pPr>
              <w:jc w:val="center"/>
              <w:rPr>
                <w:rFonts w:cs="Arial"/>
                <w:sz w:val="20"/>
                <w:szCs w:val="20"/>
                <w:lang w:val="hu-HU"/>
              </w:rPr>
            </w:pPr>
            <w:r w:rsidRPr="00F10D05">
              <w:rPr>
                <w:rFonts w:cs="Arial"/>
                <w:sz w:val="20"/>
                <w:szCs w:val="20"/>
                <w:lang w:val="hu-HU"/>
              </w:rPr>
              <w:t>Szűcs Gergely</w:t>
            </w:r>
          </w:p>
          <w:p w14:paraId="3C659077" w14:textId="77777777" w:rsidR="00875E42" w:rsidRPr="00F10D05" w:rsidRDefault="00875E42" w:rsidP="007F3C9C">
            <w:pPr>
              <w:jc w:val="center"/>
              <w:rPr>
                <w:rFonts w:cs="Arial"/>
                <w:sz w:val="20"/>
                <w:szCs w:val="20"/>
                <w:lang w:val="hu-HU"/>
              </w:rPr>
            </w:pPr>
            <w:r w:rsidRPr="00F10D05">
              <w:rPr>
                <w:rFonts w:cs="Arial"/>
                <w:sz w:val="20"/>
                <w:szCs w:val="20"/>
                <w:lang w:val="hu-HU"/>
              </w:rPr>
              <w:t>vezérigazgató</w:t>
            </w:r>
          </w:p>
        </w:tc>
        <w:tc>
          <w:tcPr>
            <w:tcW w:w="5381" w:type="dxa"/>
          </w:tcPr>
          <w:p w14:paraId="1F63FEFF" w14:textId="77777777" w:rsidR="00875E42" w:rsidRPr="00F10D05" w:rsidRDefault="00875E42" w:rsidP="007F3C9C">
            <w:pPr>
              <w:jc w:val="center"/>
              <w:rPr>
                <w:rFonts w:cs="Arial"/>
                <w:sz w:val="20"/>
                <w:szCs w:val="20"/>
                <w:lang w:val="hu-HU"/>
              </w:rPr>
            </w:pPr>
            <w:r w:rsidRPr="00F10D05">
              <w:rPr>
                <w:rFonts w:cs="Arial"/>
                <w:sz w:val="20"/>
                <w:szCs w:val="20"/>
                <w:lang w:val="hu-HU"/>
              </w:rPr>
              <w:t>Szücs Anikó</w:t>
            </w:r>
          </w:p>
          <w:p w14:paraId="5A3A4757" w14:textId="77777777" w:rsidR="00875E42" w:rsidRPr="00F10D05" w:rsidRDefault="00875E42" w:rsidP="007F3C9C">
            <w:pPr>
              <w:jc w:val="center"/>
              <w:rPr>
                <w:rFonts w:cs="Arial"/>
                <w:sz w:val="20"/>
                <w:szCs w:val="20"/>
                <w:lang w:val="hu-HU"/>
              </w:rPr>
            </w:pPr>
            <w:proofErr w:type="spellStart"/>
            <w:r w:rsidRPr="00F10D05">
              <w:rPr>
                <w:rFonts w:cs="Arial"/>
                <w:sz w:val="20"/>
                <w:szCs w:val="20"/>
                <w:lang w:val="hu-HU"/>
              </w:rPr>
              <w:t>specialty</w:t>
            </w:r>
            <w:proofErr w:type="spellEnd"/>
            <w:r w:rsidRPr="00F10D05">
              <w:rPr>
                <w:rFonts w:cs="Arial"/>
                <w:sz w:val="20"/>
                <w:szCs w:val="20"/>
                <w:lang w:val="hu-HU"/>
              </w:rPr>
              <w:t xml:space="preserve"> </w:t>
            </w:r>
            <w:proofErr w:type="spellStart"/>
            <w:r w:rsidRPr="00F10D05">
              <w:rPr>
                <w:rFonts w:cs="Arial"/>
                <w:sz w:val="20"/>
                <w:szCs w:val="20"/>
                <w:lang w:val="hu-HU"/>
              </w:rPr>
              <w:t>category</w:t>
            </w:r>
            <w:proofErr w:type="spellEnd"/>
            <w:r w:rsidRPr="00F10D05">
              <w:rPr>
                <w:rFonts w:cs="Arial"/>
                <w:sz w:val="20"/>
                <w:szCs w:val="20"/>
                <w:lang w:val="hu-HU"/>
              </w:rPr>
              <w:t xml:space="preserve"> </w:t>
            </w:r>
            <w:proofErr w:type="spellStart"/>
            <w:r w:rsidRPr="00F10D05">
              <w:rPr>
                <w:rFonts w:cs="Arial"/>
                <w:sz w:val="20"/>
                <w:szCs w:val="20"/>
                <w:lang w:val="hu-HU"/>
              </w:rPr>
              <w:t>manager</w:t>
            </w:r>
            <w:proofErr w:type="spellEnd"/>
          </w:p>
        </w:tc>
      </w:tr>
    </w:tbl>
    <w:p w14:paraId="6AAC0CD2" w14:textId="77777777" w:rsidR="00875E42" w:rsidRPr="00F10D05" w:rsidRDefault="00875E42" w:rsidP="00E51E88">
      <w:pPr>
        <w:jc w:val="both"/>
        <w:rPr>
          <w:rFonts w:ascii="Arial" w:hAnsi="Arial" w:cs="Arial"/>
          <w:sz w:val="20"/>
          <w:szCs w:val="20"/>
        </w:rPr>
      </w:pPr>
    </w:p>
    <w:p w14:paraId="7A715FBD" w14:textId="77777777" w:rsidR="00A756AC" w:rsidRPr="00F10D05" w:rsidRDefault="00A756AC" w:rsidP="00E51E88">
      <w:pPr>
        <w:jc w:val="both"/>
        <w:rPr>
          <w:rFonts w:ascii="Arial" w:hAnsi="Arial" w:cs="Arial"/>
          <w:sz w:val="20"/>
          <w:szCs w:val="20"/>
        </w:rPr>
      </w:pPr>
    </w:p>
    <w:sectPr w:rsidR="00A756AC" w:rsidRPr="00F10D05">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056E7" w14:textId="77777777" w:rsidR="00785687" w:rsidRDefault="00785687" w:rsidP="008203D9">
      <w:pPr>
        <w:spacing w:after="0" w:line="240" w:lineRule="auto"/>
      </w:pPr>
      <w:r>
        <w:separator/>
      </w:r>
    </w:p>
  </w:endnote>
  <w:endnote w:type="continuationSeparator" w:id="0">
    <w:p w14:paraId="0C35F3D7" w14:textId="77777777" w:rsidR="00785687" w:rsidRDefault="00785687" w:rsidP="0082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masis MT Pro">
    <w:altName w:val="Cambria"/>
    <w:charset w:val="EE"/>
    <w:family w:val="roman"/>
    <w:pitch w:val="variable"/>
    <w:sig w:usb0="A00000A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745F" w14:textId="77777777" w:rsidR="004B4ED4" w:rsidRDefault="004B4ED4" w:rsidP="004B4ED4">
    <w:pPr>
      <w:pStyle w:val="Footer"/>
      <w:tabs>
        <w:tab w:val="clear" w:pos="4536"/>
        <w:tab w:val="clear" w:pos="9072"/>
        <w:tab w:val="left" w:pos="1155"/>
      </w:tabs>
    </w:pPr>
    <w:r>
      <w:tab/>
    </w: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CellMar>
        <w:top w:w="113" w:type="dxa"/>
        <w:bottom w:w="113" w:type="dxa"/>
      </w:tblCellMar>
      <w:tblLook w:val="04A0" w:firstRow="1" w:lastRow="0" w:firstColumn="1" w:lastColumn="0" w:noHBand="0" w:noVBand="1"/>
    </w:tblPr>
    <w:tblGrid>
      <w:gridCol w:w="2310"/>
      <w:gridCol w:w="7472"/>
    </w:tblGrid>
    <w:tr w:rsidR="004B4ED4" w:rsidRPr="00373E93" w14:paraId="435A02CE" w14:textId="77777777" w:rsidTr="00113989">
      <w:trPr>
        <w:trHeight w:val="469"/>
      </w:trPr>
      <w:tc>
        <w:tcPr>
          <w:tcW w:w="2310" w:type="dxa"/>
          <w:shd w:val="clear" w:color="auto" w:fill="FFC000"/>
          <w:vAlign w:val="center"/>
        </w:tcPr>
        <w:p w14:paraId="27DE3BA0" w14:textId="77777777" w:rsidR="004B4ED4" w:rsidRPr="00373E93" w:rsidRDefault="004B4ED4" w:rsidP="004B4ED4">
          <w:pPr>
            <w:pStyle w:val="Footer"/>
            <w:tabs>
              <w:tab w:val="clear" w:pos="4536"/>
              <w:tab w:val="clear" w:pos="9072"/>
              <w:tab w:val="left" w:pos="1496"/>
            </w:tabs>
            <w:jc w:val="center"/>
            <w:rPr>
              <w:color w:val="FFFFFF" w:themeColor="background1"/>
              <w:sz w:val="16"/>
              <w:szCs w:val="16"/>
            </w:rPr>
          </w:pPr>
          <w:r w:rsidRPr="009B4850">
            <w:rPr>
              <w:noProof/>
              <w:color w:val="FFFFFF" w:themeColor="background1"/>
              <w:sz w:val="16"/>
              <w:szCs w:val="16"/>
            </w:rPr>
            <w:drawing>
              <wp:inline distT="0" distB="0" distL="0" distR="0" wp14:anchorId="6F2A7572" wp14:editId="4AE883BC">
                <wp:extent cx="1123950" cy="165175"/>
                <wp:effectExtent l="0" t="0" r="0" b="6350"/>
                <wp:docPr id="4" name="Kép 4" descr="A képen Betűtípus, Grafika, embléma, Grafikus tervezés látható&#10;&#10;Automatikusan generált leírás">
                  <a:extLst xmlns:a="http://schemas.openxmlformats.org/drawingml/2006/main">
                    <a:ext uri="{FF2B5EF4-FFF2-40B4-BE49-F238E27FC236}">
                      <a16:creationId xmlns:a16="http://schemas.microsoft.com/office/drawing/2014/main" id="{982924C7-A34E-4CD0-A6AF-E5FFB5BE0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Betűtípus, Grafika, embléma, Grafikus tervezés látható&#10;&#10;Automatikusan generált leírás">
                          <a:extLst>
                            <a:ext uri="{FF2B5EF4-FFF2-40B4-BE49-F238E27FC236}">
                              <a16:creationId xmlns:a16="http://schemas.microsoft.com/office/drawing/2014/main" id="{982924C7-A34E-4CD0-A6AF-E5FFB5BE04B8}"/>
                            </a:ext>
                          </a:extLst>
                        </pic:cNvPr>
                        <pic:cNvPicPr>
                          <a:picLocks noChangeAspect="1"/>
                        </pic:cNvPicPr>
                      </pic:nvPicPr>
                      <pic:blipFill>
                        <a:blip r:embed="rId1"/>
                        <a:stretch>
                          <a:fillRect/>
                        </a:stretch>
                      </pic:blipFill>
                      <pic:spPr>
                        <a:xfrm>
                          <a:off x="0" y="0"/>
                          <a:ext cx="1183102" cy="173868"/>
                        </a:xfrm>
                        <a:prstGeom prst="rect">
                          <a:avLst/>
                        </a:prstGeom>
                      </pic:spPr>
                    </pic:pic>
                  </a:graphicData>
                </a:graphic>
              </wp:inline>
            </w:drawing>
          </w:r>
        </w:p>
      </w:tc>
      <w:tc>
        <w:tcPr>
          <w:tcW w:w="7472" w:type="dxa"/>
          <w:shd w:val="clear" w:color="auto" w:fill="FFC000"/>
          <w:vAlign w:val="center"/>
        </w:tcPr>
        <w:p w14:paraId="13A23E2C" w14:textId="77777777" w:rsidR="004B4ED4" w:rsidRPr="009B4850" w:rsidRDefault="004B4ED4" w:rsidP="004B4ED4">
          <w:pPr>
            <w:pStyle w:val="Footer"/>
            <w:tabs>
              <w:tab w:val="clear" w:pos="4536"/>
              <w:tab w:val="clear" w:pos="9072"/>
              <w:tab w:val="left" w:pos="1496"/>
            </w:tabs>
            <w:jc w:val="center"/>
            <w:rPr>
              <w:rFonts w:ascii="Arial Narrow" w:hAnsi="Arial Narrow"/>
              <w:color w:val="FFFFFF" w:themeColor="background1"/>
              <w:sz w:val="20"/>
              <w:szCs w:val="20"/>
            </w:rPr>
          </w:pPr>
          <w:r w:rsidRPr="009B4850">
            <w:rPr>
              <w:rFonts w:ascii="Arial Narrow" w:hAnsi="Arial Narrow"/>
              <w:color w:val="FFFFFF" w:themeColor="background1"/>
              <w:sz w:val="20"/>
              <w:szCs w:val="20"/>
            </w:rPr>
            <w:t xml:space="preserve">AkzoNobel Coatings Zrt. </w:t>
          </w:r>
          <w:r w:rsidRPr="003C4AEC">
            <w:rPr>
              <w:rFonts w:ascii="Arial Narrow" w:hAnsi="Arial Narrow"/>
              <w:color w:val="FFFFFF" w:themeColor="background1"/>
              <w:sz w:val="20"/>
              <w:szCs w:val="20"/>
            </w:rPr>
            <w:t xml:space="preserve">1138 Budapest, </w:t>
          </w:r>
          <w:proofErr w:type="spellStart"/>
          <w:r w:rsidRPr="003C4AEC">
            <w:rPr>
              <w:rFonts w:ascii="Arial Narrow" w:hAnsi="Arial Narrow"/>
              <w:color w:val="FFFFFF" w:themeColor="background1"/>
              <w:sz w:val="20"/>
              <w:szCs w:val="20"/>
            </w:rPr>
            <w:t>Dunavirág</w:t>
          </w:r>
          <w:proofErr w:type="spellEnd"/>
          <w:r w:rsidRPr="003C4AEC">
            <w:rPr>
              <w:rFonts w:ascii="Arial Narrow" w:hAnsi="Arial Narrow"/>
              <w:color w:val="FFFFFF" w:themeColor="background1"/>
              <w:sz w:val="20"/>
              <w:szCs w:val="20"/>
            </w:rPr>
            <w:t xml:space="preserve"> </w:t>
          </w:r>
          <w:proofErr w:type="spellStart"/>
          <w:r w:rsidRPr="003C4AEC">
            <w:rPr>
              <w:rFonts w:ascii="Arial Narrow" w:hAnsi="Arial Narrow"/>
              <w:color w:val="FFFFFF" w:themeColor="background1"/>
              <w:sz w:val="20"/>
              <w:szCs w:val="20"/>
            </w:rPr>
            <w:t>utca</w:t>
          </w:r>
          <w:proofErr w:type="spellEnd"/>
          <w:r w:rsidRPr="003C4AEC">
            <w:rPr>
              <w:rFonts w:ascii="Arial Narrow" w:hAnsi="Arial Narrow"/>
              <w:color w:val="FFFFFF" w:themeColor="background1"/>
              <w:sz w:val="20"/>
              <w:szCs w:val="20"/>
            </w:rPr>
            <w:t xml:space="preserve"> 2-6. 1. </w:t>
          </w:r>
          <w:proofErr w:type="spellStart"/>
          <w:r w:rsidRPr="003C4AEC">
            <w:rPr>
              <w:rFonts w:ascii="Arial Narrow" w:hAnsi="Arial Narrow"/>
              <w:color w:val="FFFFFF" w:themeColor="background1"/>
              <w:sz w:val="20"/>
              <w:szCs w:val="20"/>
            </w:rPr>
            <w:t>ép</w:t>
          </w:r>
          <w:proofErr w:type="spellEnd"/>
          <w:r w:rsidRPr="003C4AEC">
            <w:rPr>
              <w:rFonts w:ascii="Arial Narrow" w:hAnsi="Arial Narrow"/>
              <w:color w:val="FFFFFF" w:themeColor="background1"/>
              <w:sz w:val="20"/>
              <w:szCs w:val="20"/>
            </w:rPr>
            <w:t xml:space="preserve">. </w:t>
          </w:r>
          <w:r>
            <w:rPr>
              <w:rFonts w:ascii="Arial Narrow" w:hAnsi="Arial Narrow"/>
              <w:color w:val="FFFFFF" w:themeColor="background1"/>
              <w:sz w:val="20"/>
              <w:szCs w:val="20"/>
            </w:rPr>
            <w:t>V</w:t>
          </w:r>
          <w:r w:rsidRPr="003C4AEC">
            <w:rPr>
              <w:rFonts w:ascii="Arial Narrow" w:hAnsi="Arial Narrow"/>
              <w:color w:val="FFFFFF" w:themeColor="background1"/>
              <w:sz w:val="20"/>
              <w:szCs w:val="20"/>
            </w:rPr>
            <w:t xml:space="preserve">. </w:t>
          </w:r>
          <w:proofErr w:type="spellStart"/>
          <w:r w:rsidRPr="003C4AEC">
            <w:rPr>
              <w:rFonts w:ascii="Arial Narrow" w:hAnsi="Arial Narrow"/>
              <w:color w:val="FFFFFF" w:themeColor="background1"/>
              <w:sz w:val="20"/>
              <w:szCs w:val="20"/>
            </w:rPr>
            <w:t>em</w:t>
          </w:r>
          <w:proofErr w:type="spellEnd"/>
          <w:r w:rsidRPr="003C4AEC">
            <w:rPr>
              <w:rFonts w:ascii="Arial Narrow" w:hAnsi="Arial Narrow"/>
              <w:color w:val="FFFFFF" w:themeColor="background1"/>
              <w:sz w:val="20"/>
              <w:szCs w:val="20"/>
            </w:rPr>
            <w:t>.</w:t>
          </w:r>
        </w:p>
        <w:p w14:paraId="5237D7AE" w14:textId="3D6A8646" w:rsidR="004B4ED4" w:rsidRPr="00373E93" w:rsidRDefault="004B4ED4" w:rsidP="004B4ED4">
          <w:pPr>
            <w:pStyle w:val="Footer"/>
            <w:tabs>
              <w:tab w:val="clear" w:pos="4536"/>
              <w:tab w:val="clear" w:pos="9072"/>
              <w:tab w:val="left" w:pos="1496"/>
              <w:tab w:val="center" w:pos="5386"/>
              <w:tab w:val="left" w:pos="9351"/>
            </w:tabs>
            <w:jc w:val="center"/>
            <w:rPr>
              <w:color w:val="FFFFFF" w:themeColor="background1"/>
              <w:sz w:val="16"/>
              <w:szCs w:val="16"/>
            </w:rPr>
          </w:pPr>
          <w:r w:rsidRPr="009B4850">
            <w:rPr>
              <w:rFonts w:ascii="Arial Narrow" w:hAnsi="Arial Narrow"/>
              <w:color w:val="FFFFFF" w:themeColor="background1"/>
              <w:sz w:val="20"/>
              <w:szCs w:val="20"/>
              <w:lang w:val="en-US"/>
            </w:rPr>
            <w:t xml:space="preserve"> </w:t>
          </w:r>
          <w:proofErr w:type="spellStart"/>
          <w:r w:rsidRPr="009B4850">
            <w:rPr>
              <w:rFonts w:ascii="Arial Narrow" w:hAnsi="Arial Narrow"/>
              <w:color w:val="FFFFFF" w:themeColor="background1"/>
              <w:sz w:val="20"/>
              <w:szCs w:val="20"/>
              <w:lang w:val="en-US"/>
            </w:rPr>
            <w:t>Infovonal</w:t>
          </w:r>
          <w:proofErr w:type="spellEnd"/>
          <w:r w:rsidRPr="009B4850">
            <w:rPr>
              <w:rFonts w:ascii="Arial Narrow" w:hAnsi="Arial Narrow"/>
              <w:color w:val="FFFFFF" w:themeColor="background1"/>
              <w:sz w:val="20"/>
              <w:szCs w:val="20"/>
              <w:lang w:val="en-US"/>
            </w:rPr>
            <w:t xml:space="preserve">: 06 80 200 505; </w:t>
          </w:r>
          <w:r w:rsidR="00723ECE">
            <w:rPr>
              <w:rFonts w:ascii="Arial Narrow" w:hAnsi="Arial Narrow"/>
              <w:color w:val="FFFFFF" w:themeColor="background1"/>
              <w:sz w:val="20"/>
              <w:szCs w:val="20"/>
              <w:lang w:val="en-US"/>
            </w:rPr>
            <w:t>www.sadolin.hu</w:t>
          </w:r>
        </w:p>
      </w:tc>
    </w:tr>
  </w:tbl>
  <w:p w14:paraId="4219E39B" w14:textId="5E8FE1C7" w:rsidR="004B4ED4" w:rsidRDefault="004B4ED4" w:rsidP="004B4ED4">
    <w:pPr>
      <w:pStyle w:val="Footer"/>
      <w:tabs>
        <w:tab w:val="clear" w:pos="4536"/>
        <w:tab w:val="clear" w:pos="9072"/>
        <w:tab w:val="left" w:pos="11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E20B" w14:textId="77777777" w:rsidR="00785687" w:rsidRDefault="00785687" w:rsidP="008203D9">
      <w:pPr>
        <w:spacing w:after="0" w:line="240" w:lineRule="auto"/>
      </w:pPr>
      <w:r>
        <w:separator/>
      </w:r>
    </w:p>
  </w:footnote>
  <w:footnote w:type="continuationSeparator" w:id="0">
    <w:p w14:paraId="16FB1C2B" w14:textId="77777777" w:rsidR="00785687" w:rsidRDefault="00785687" w:rsidP="0082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20BE" w14:textId="350B3462" w:rsidR="006705EB" w:rsidRPr="0091137C" w:rsidRDefault="00044EBA" w:rsidP="00F86D96">
    <w:pPr>
      <w:spacing w:after="120" w:line="240" w:lineRule="auto"/>
      <w:jc w:val="center"/>
      <w:rPr>
        <w:b/>
        <w:bCs/>
        <w:sz w:val="28"/>
        <w:szCs w:val="28"/>
      </w:rPr>
    </w:pPr>
    <w:r w:rsidRPr="00C74DEC">
      <w:rPr>
        <w:rFonts w:ascii="Amasis MT Pro" w:hAnsi="Amasis MT Pro"/>
        <w:noProof/>
        <w:sz w:val="24"/>
        <w:szCs w:val="24"/>
      </w:rPr>
      <w:drawing>
        <wp:anchor distT="0" distB="0" distL="114300" distR="114300" simplePos="0" relativeHeight="251625984" behindDoc="1" locked="0" layoutInCell="1" allowOverlap="1" wp14:anchorId="084DFECA" wp14:editId="4E8A5920">
          <wp:simplePos x="0" y="0"/>
          <wp:positionH relativeFrom="margin">
            <wp:posOffset>-537845</wp:posOffset>
          </wp:positionH>
          <wp:positionV relativeFrom="paragraph">
            <wp:posOffset>-335280</wp:posOffset>
          </wp:positionV>
          <wp:extent cx="6534150" cy="716915"/>
          <wp:effectExtent l="0" t="0" r="0" b="6985"/>
          <wp:wrapTight wrapText="bothSides">
            <wp:wrapPolygon edited="0">
              <wp:start x="0" y="0"/>
              <wp:lineTo x="0" y="21236"/>
              <wp:lineTo x="21537" y="21236"/>
              <wp:lineTo x="21537"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34150" cy="716915"/>
                  </a:xfrm>
                  <a:prstGeom prst="rect">
                    <a:avLst/>
                  </a:prstGeom>
                </pic:spPr>
              </pic:pic>
            </a:graphicData>
          </a:graphic>
          <wp14:sizeRelH relativeFrom="margin">
            <wp14:pctWidth>0</wp14:pctWidth>
          </wp14:sizeRelH>
          <wp14:sizeRelV relativeFrom="margin">
            <wp14:pctHeight>0</wp14:pctHeight>
          </wp14:sizeRelV>
        </wp:anchor>
      </w:drawing>
    </w:r>
    <w:r w:rsidR="006705EB" w:rsidRPr="0091137C">
      <w:rPr>
        <w:b/>
        <w:bCs/>
        <w:sz w:val="28"/>
        <w:szCs w:val="28"/>
      </w:rPr>
      <w:t>MŰSZAKI A</w:t>
    </w:r>
    <w:r w:rsidR="005D0300">
      <w:rPr>
        <w:b/>
        <w:bCs/>
        <w:sz w:val="28"/>
        <w:szCs w:val="28"/>
      </w:rPr>
      <w:t>D</w:t>
    </w:r>
    <w:r w:rsidR="006705EB" w:rsidRPr="0091137C">
      <w:rPr>
        <w:b/>
        <w:bCs/>
        <w:sz w:val="28"/>
        <w:szCs w:val="28"/>
      </w:rPr>
      <w:t>ATLAP</w:t>
    </w:r>
  </w:p>
  <w:p w14:paraId="41D2C156" w14:textId="1F255453" w:rsidR="006705EB" w:rsidRPr="002B7EEB" w:rsidRDefault="005815B5" w:rsidP="006705EB">
    <w:pPr>
      <w:spacing w:after="120" w:line="240" w:lineRule="auto"/>
      <w:jc w:val="center"/>
      <w:rPr>
        <w:b/>
        <w:bCs/>
        <w:color w:val="FFC000"/>
        <w:sz w:val="40"/>
        <w:szCs w:val="40"/>
      </w:rPr>
    </w:pPr>
    <w:r w:rsidRPr="002B7EEB">
      <w:rPr>
        <w:b/>
        <w:bCs/>
        <w:color w:val="FFC000"/>
        <w:sz w:val="40"/>
        <w:szCs w:val="40"/>
      </w:rPr>
      <w:t xml:space="preserve">SADOLIN </w:t>
    </w:r>
    <w:r w:rsidR="00367744">
      <w:rPr>
        <w:b/>
        <w:bCs/>
        <w:color w:val="FFC000"/>
        <w:sz w:val="40"/>
        <w:szCs w:val="40"/>
      </w:rPr>
      <w:t>EXTRA</w:t>
    </w:r>
  </w:p>
  <w:p w14:paraId="16F4401E" w14:textId="571C20FC" w:rsidR="008203D9" w:rsidRPr="005815B5" w:rsidRDefault="004F2658" w:rsidP="005815B5">
    <w:pPr>
      <w:spacing w:after="120" w:line="240" w:lineRule="auto"/>
      <w:jc w:val="center"/>
      <w:rPr>
        <w:b/>
        <w:bCs/>
        <w:sz w:val="24"/>
        <w:szCs w:val="24"/>
      </w:rPr>
    </w:pPr>
    <w:r>
      <w:rPr>
        <w:b/>
        <w:bCs/>
        <w:sz w:val="24"/>
        <w:szCs w:val="24"/>
      </w:rPr>
      <w:t>selyemfényű vastag</w:t>
    </w:r>
    <w:r w:rsidR="000F2B7A">
      <w:rPr>
        <w:b/>
        <w:bCs/>
        <w:sz w:val="24"/>
        <w:szCs w:val="24"/>
      </w:rPr>
      <w:t>lazúr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436"/>
    <w:multiLevelType w:val="hybridMultilevel"/>
    <w:tmpl w:val="816EF94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7221735"/>
    <w:multiLevelType w:val="hybridMultilevel"/>
    <w:tmpl w:val="5F7CB1EE"/>
    <w:lvl w:ilvl="0" w:tplc="C90EC44E">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242928"/>
    <w:multiLevelType w:val="multilevel"/>
    <w:tmpl w:val="5C6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672761">
    <w:abstractNumId w:val="2"/>
  </w:num>
  <w:num w:numId="2" w16cid:durableId="423840603">
    <w:abstractNumId w:val="0"/>
  </w:num>
  <w:num w:numId="3" w16cid:durableId="99591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9F"/>
    <w:rsid w:val="000051F1"/>
    <w:rsid w:val="00006CFA"/>
    <w:rsid w:val="00013C0C"/>
    <w:rsid w:val="000244A9"/>
    <w:rsid w:val="0003058D"/>
    <w:rsid w:val="00030994"/>
    <w:rsid w:val="00044EBA"/>
    <w:rsid w:val="000476D7"/>
    <w:rsid w:val="00080820"/>
    <w:rsid w:val="00083D05"/>
    <w:rsid w:val="000B352A"/>
    <w:rsid w:val="000B77B6"/>
    <w:rsid w:val="000C5A2E"/>
    <w:rsid w:val="000E02D3"/>
    <w:rsid w:val="000E4CA4"/>
    <w:rsid w:val="000E5F33"/>
    <w:rsid w:val="000F2B7A"/>
    <w:rsid w:val="000F4D73"/>
    <w:rsid w:val="000F7261"/>
    <w:rsid w:val="0011002B"/>
    <w:rsid w:val="00111951"/>
    <w:rsid w:val="00113989"/>
    <w:rsid w:val="001159C5"/>
    <w:rsid w:val="00124461"/>
    <w:rsid w:val="001271E4"/>
    <w:rsid w:val="00132475"/>
    <w:rsid w:val="00134279"/>
    <w:rsid w:val="00153DA0"/>
    <w:rsid w:val="001548B0"/>
    <w:rsid w:val="00164D31"/>
    <w:rsid w:val="001675E9"/>
    <w:rsid w:val="00167960"/>
    <w:rsid w:val="001732C5"/>
    <w:rsid w:val="00186A57"/>
    <w:rsid w:val="001E26EC"/>
    <w:rsid w:val="001F23B1"/>
    <w:rsid w:val="001F6F6A"/>
    <w:rsid w:val="00202721"/>
    <w:rsid w:val="00202D36"/>
    <w:rsid w:val="002072AD"/>
    <w:rsid w:val="00210E4B"/>
    <w:rsid w:val="0021411A"/>
    <w:rsid w:val="00214474"/>
    <w:rsid w:val="002160EA"/>
    <w:rsid w:val="00223AB4"/>
    <w:rsid w:val="002300DA"/>
    <w:rsid w:val="002336C4"/>
    <w:rsid w:val="002637DD"/>
    <w:rsid w:val="002718CC"/>
    <w:rsid w:val="00274366"/>
    <w:rsid w:val="00276439"/>
    <w:rsid w:val="002820CC"/>
    <w:rsid w:val="002863ED"/>
    <w:rsid w:val="00290F80"/>
    <w:rsid w:val="00293423"/>
    <w:rsid w:val="002A6184"/>
    <w:rsid w:val="002B2117"/>
    <w:rsid w:val="002B7EEB"/>
    <w:rsid w:val="002D617D"/>
    <w:rsid w:val="002F1A9D"/>
    <w:rsid w:val="00303404"/>
    <w:rsid w:val="00304D85"/>
    <w:rsid w:val="00317223"/>
    <w:rsid w:val="00324225"/>
    <w:rsid w:val="00324864"/>
    <w:rsid w:val="003318CB"/>
    <w:rsid w:val="00337C24"/>
    <w:rsid w:val="0034353E"/>
    <w:rsid w:val="003467EB"/>
    <w:rsid w:val="003531A3"/>
    <w:rsid w:val="003537CB"/>
    <w:rsid w:val="003623FC"/>
    <w:rsid w:val="00363F26"/>
    <w:rsid w:val="00367744"/>
    <w:rsid w:val="00367B87"/>
    <w:rsid w:val="003839B5"/>
    <w:rsid w:val="00391EE8"/>
    <w:rsid w:val="00392A27"/>
    <w:rsid w:val="0039690F"/>
    <w:rsid w:val="003A1B82"/>
    <w:rsid w:val="003A4470"/>
    <w:rsid w:val="003D37EE"/>
    <w:rsid w:val="003E3CF7"/>
    <w:rsid w:val="003E4474"/>
    <w:rsid w:val="003E650F"/>
    <w:rsid w:val="003F1A4B"/>
    <w:rsid w:val="004163E1"/>
    <w:rsid w:val="0041685F"/>
    <w:rsid w:val="00416C24"/>
    <w:rsid w:val="00421EE3"/>
    <w:rsid w:val="004248D3"/>
    <w:rsid w:val="00473C2D"/>
    <w:rsid w:val="0047616D"/>
    <w:rsid w:val="004845EC"/>
    <w:rsid w:val="0049466D"/>
    <w:rsid w:val="0049570D"/>
    <w:rsid w:val="004A6D8C"/>
    <w:rsid w:val="004A7E6A"/>
    <w:rsid w:val="004B48AB"/>
    <w:rsid w:val="004B4ED4"/>
    <w:rsid w:val="004B50A4"/>
    <w:rsid w:val="004C29A6"/>
    <w:rsid w:val="004E4995"/>
    <w:rsid w:val="004E59E0"/>
    <w:rsid w:val="004F2658"/>
    <w:rsid w:val="00500C3C"/>
    <w:rsid w:val="0051625E"/>
    <w:rsid w:val="00536639"/>
    <w:rsid w:val="00540F29"/>
    <w:rsid w:val="00542171"/>
    <w:rsid w:val="00542A7B"/>
    <w:rsid w:val="00550E22"/>
    <w:rsid w:val="00565E98"/>
    <w:rsid w:val="00576417"/>
    <w:rsid w:val="005815B5"/>
    <w:rsid w:val="00586215"/>
    <w:rsid w:val="005A0C70"/>
    <w:rsid w:val="005A424C"/>
    <w:rsid w:val="005B5201"/>
    <w:rsid w:val="005C3B40"/>
    <w:rsid w:val="005D0300"/>
    <w:rsid w:val="005F0DFB"/>
    <w:rsid w:val="005F282A"/>
    <w:rsid w:val="006048DA"/>
    <w:rsid w:val="006100CC"/>
    <w:rsid w:val="00614FF7"/>
    <w:rsid w:val="00616496"/>
    <w:rsid w:val="006209B0"/>
    <w:rsid w:val="00623AA1"/>
    <w:rsid w:val="00640122"/>
    <w:rsid w:val="00651087"/>
    <w:rsid w:val="00661162"/>
    <w:rsid w:val="006705EB"/>
    <w:rsid w:val="0067166D"/>
    <w:rsid w:val="00680B9F"/>
    <w:rsid w:val="00680CCB"/>
    <w:rsid w:val="00681E59"/>
    <w:rsid w:val="00683771"/>
    <w:rsid w:val="006958FB"/>
    <w:rsid w:val="006A1F7A"/>
    <w:rsid w:val="006A51B6"/>
    <w:rsid w:val="006A6109"/>
    <w:rsid w:val="006B4D2A"/>
    <w:rsid w:val="006C0A08"/>
    <w:rsid w:val="006C335F"/>
    <w:rsid w:val="006C42A6"/>
    <w:rsid w:val="006C6954"/>
    <w:rsid w:val="006D5A41"/>
    <w:rsid w:val="006E209F"/>
    <w:rsid w:val="006E2413"/>
    <w:rsid w:val="006F32AB"/>
    <w:rsid w:val="00720A3A"/>
    <w:rsid w:val="00723ECE"/>
    <w:rsid w:val="00736474"/>
    <w:rsid w:val="00736622"/>
    <w:rsid w:val="0074098C"/>
    <w:rsid w:val="00754C49"/>
    <w:rsid w:val="00760522"/>
    <w:rsid w:val="00760E03"/>
    <w:rsid w:val="00785687"/>
    <w:rsid w:val="007A208E"/>
    <w:rsid w:val="007B2CC6"/>
    <w:rsid w:val="007E0C73"/>
    <w:rsid w:val="007E4425"/>
    <w:rsid w:val="007F0AD6"/>
    <w:rsid w:val="007F4B18"/>
    <w:rsid w:val="008203D9"/>
    <w:rsid w:val="00826280"/>
    <w:rsid w:val="008301AA"/>
    <w:rsid w:val="00834155"/>
    <w:rsid w:val="00837026"/>
    <w:rsid w:val="008453CB"/>
    <w:rsid w:val="00845416"/>
    <w:rsid w:val="00857F9E"/>
    <w:rsid w:val="00860CB3"/>
    <w:rsid w:val="00864298"/>
    <w:rsid w:val="00870EFF"/>
    <w:rsid w:val="00875E42"/>
    <w:rsid w:val="008764E0"/>
    <w:rsid w:val="0088216E"/>
    <w:rsid w:val="00886C84"/>
    <w:rsid w:val="008928B8"/>
    <w:rsid w:val="008A14B5"/>
    <w:rsid w:val="008A347F"/>
    <w:rsid w:val="008A7696"/>
    <w:rsid w:val="008B3D21"/>
    <w:rsid w:val="008B51EB"/>
    <w:rsid w:val="008B52A6"/>
    <w:rsid w:val="008C1C60"/>
    <w:rsid w:val="008F65EE"/>
    <w:rsid w:val="00904CDB"/>
    <w:rsid w:val="00907419"/>
    <w:rsid w:val="00910631"/>
    <w:rsid w:val="00913791"/>
    <w:rsid w:val="00930033"/>
    <w:rsid w:val="00935777"/>
    <w:rsid w:val="009547B3"/>
    <w:rsid w:val="0097248B"/>
    <w:rsid w:val="00981FCC"/>
    <w:rsid w:val="009A3BB5"/>
    <w:rsid w:val="009B4A5D"/>
    <w:rsid w:val="009D5C65"/>
    <w:rsid w:val="009F525B"/>
    <w:rsid w:val="009F7691"/>
    <w:rsid w:val="00A04067"/>
    <w:rsid w:val="00A301B6"/>
    <w:rsid w:val="00A32129"/>
    <w:rsid w:val="00A330C1"/>
    <w:rsid w:val="00A346B9"/>
    <w:rsid w:val="00A42669"/>
    <w:rsid w:val="00A47D10"/>
    <w:rsid w:val="00A54501"/>
    <w:rsid w:val="00A61D80"/>
    <w:rsid w:val="00A756AC"/>
    <w:rsid w:val="00A75CA1"/>
    <w:rsid w:val="00A901EA"/>
    <w:rsid w:val="00AA586E"/>
    <w:rsid w:val="00AC1201"/>
    <w:rsid w:val="00AD49B1"/>
    <w:rsid w:val="00AE57DB"/>
    <w:rsid w:val="00AF3764"/>
    <w:rsid w:val="00B078D8"/>
    <w:rsid w:val="00B12C11"/>
    <w:rsid w:val="00B5789A"/>
    <w:rsid w:val="00B61C15"/>
    <w:rsid w:val="00B70A92"/>
    <w:rsid w:val="00B717AE"/>
    <w:rsid w:val="00B77473"/>
    <w:rsid w:val="00B8566A"/>
    <w:rsid w:val="00BA3427"/>
    <w:rsid w:val="00BA4A6A"/>
    <w:rsid w:val="00BB6BFE"/>
    <w:rsid w:val="00BC249E"/>
    <w:rsid w:val="00BC63A7"/>
    <w:rsid w:val="00BD471B"/>
    <w:rsid w:val="00BF52D3"/>
    <w:rsid w:val="00BF7A5D"/>
    <w:rsid w:val="00C027F8"/>
    <w:rsid w:val="00C076F7"/>
    <w:rsid w:val="00C12691"/>
    <w:rsid w:val="00C151F3"/>
    <w:rsid w:val="00C1523B"/>
    <w:rsid w:val="00C16C4F"/>
    <w:rsid w:val="00C249B1"/>
    <w:rsid w:val="00C312C1"/>
    <w:rsid w:val="00C44B6A"/>
    <w:rsid w:val="00C54472"/>
    <w:rsid w:val="00C71234"/>
    <w:rsid w:val="00C7189A"/>
    <w:rsid w:val="00C74DEC"/>
    <w:rsid w:val="00C808ED"/>
    <w:rsid w:val="00C81171"/>
    <w:rsid w:val="00C90E29"/>
    <w:rsid w:val="00C91268"/>
    <w:rsid w:val="00CB098D"/>
    <w:rsid w:val="00CC645B"/>
    <w:rsid w:val="00CC7258"/>
    <w:rsid w:val="00CD0922"/>
    <w:rsid w:val="00CD36DA"/>
    <w:rsid w:val="00CD482A"/>
    <w:rsid w:val="00D01FEC"/>
    <w:rsid w:val="00D051D8"/>
    <w:rsid w:val="00D16755"/>
    <w:rsid w:val="00D231EA"/>
    <w:rsid w:val="00D405D3"/>
    <w:rsid w:val="00D422FE"/>
    <w:rsid w:val="00D4236D"/>
    <w:rsid w:val="00D530A9"/>
    <w:rsid w:val="00D61E7A"/>
    <w:rsid w:val="00D63496"/>
    <w:rsid w:val="00D64C30"/>
    <w:rsid w:val="00D662DE"/>
    <w:rsid w:val="00D700D5"/>
    <w:rsid w:val="00D73A8B"/>
    <w:rsid w:val="00D86635"/>
    <w:rsid w:val="00D90535"/>
    <w:rsid w:val="00DA19A5"/>
    <w:rsid w:val="00DA565E"/>
    <w:rsid w:val="00DB2859"/>
    <w:rsid w:val="00DB3F2E"/>
    <w:rsid w:val="00DC2104"/>
    <w:rsid w:val="00DC2E8A"/>
    <w:rsid w:val="00DC495D"/>
    <w:rsid w:val="00DC4FF6"/>
    <w:rsid w:val="00DE1BFD"/>
    <w:rsid w:val="00DE3F6C"/>
    <w:rsid w:val="00DE6738"/>
    <w:rsid w:val="00DE6C52"/>
    <w:rsid w:val="00DF07FC"/>
    <w:rsid w:val="00E04DC7"/>
    <w:rsid w:val="00E21966"/>
    <w:rsid w:val="00E2601A"/>
    <w:rsid w:val="00E26274"/>
    <w:rsid w:val="00E346BD"/>
    <w:rsid w:val="00E51E88"/>
    <w:rsid w:val="00E76D79"/>
    <w:rsid w:val="00E7724D"/>
    <w:rsid w:val="00E858CF"/>
    <w:rsid w:val="00E85EA3"/>
    <w:rsid w:val="00EA797F"/>
    <w:rsid w:val="00EB05B5"/>
    <w:rsid w:val="00EC236A"/>
    <w:rsid w:val="00EC34B6"/>
    <w:rsid w:val="00EC4F9D"/>
    <w:rsid w:val="00EC7217"/>
    <w:rsid w:val="00ED075C"/>
    <w:rsid w:val="00EE2756"/>
    <w:rsid w:val="00EE38F8"/>
    <w:rsid w:val="00EF27F3"/>
    <w:rsid w:val="00F10D05"/>
    <w:rsid w:val="00F11AB3"/>
    <w:rsid w:val="00F21FF5"/>
    <w:rsid w:val="00F2581F"/>
    <w:rsid w:val="00F621A7"/>
    <w:rsid w:val="00F649C8"/>
    <w:rsid w:val="00F6749A"/>
    <w:rsid w:val="00F70A92"/>
    <w:rsid w:val="00F86D96"/>
    <w:rsid w:val="00FA16DE"/>
    <w:rsid w:val="00FA1A4C"/>
    <w:rsid w:val="00FA7B27"/>
    <w:rsid w:val="00FC7549"/>
    <w:rsid w:val="00FD4616"/>
    <w:rsid w:val="00FE15BF"/>
    <w:rsid w:val="00FE6B47"/>
    <w:rsid w:val="00FF0E6A"/>
    <w:rsid w:val="00FF7B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C70A"/>
  <w15:chartTrackingRefBased/>
  <w15:docId w15:val="{D1C66A37-E92D-466D-8E6E-090FF02A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03D9"/>
  </w:style>
  <w:style w:type="paragraph" w:styleId="Footer">
    <w:name w:val="footer"/>
    <w:basedOn w:val="Normal"/>
    <w:link w:val="FooterChar"/>
    <w:uiPriority w:val="99"/>
    <w:unhideWhenUsed/>
    <w:rsid w:val="00820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03D9"/>
  </w:style>
  <w:style w:type="table" w:styleId="TableGrid">
    <w:name w:val="Table Grid"/>
    <w:basedOn w:val="TableNormal"/>
    <w:uiPriority w:val="59"/>
    <w:rsid w:val="004B4ED4"/>
    <w:pPr>
      <w:spacing w:after="0" w:line="240" w:lineRule="auto"/>
    </w:pPr>
    <w:rPr>
      <w:rFonts w:ascii="Arial" w:hAnsi="Arial"/>
      <w:kern w:val="0"/>
      <w:lang w:val="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45B"/>
    <w:pPr>
      <w:ind w:left="720"/>
      <w:contextualSpacing/>
    </w:pPr>
  </w:style>
  <w:style w:type="character" w:styleId="Hyperlink">
    <w:name w:val="Hyperlink"/>
    <w:basedOn w:val="DefaultParagraphFont"/>
    <w:uiPriority w:val="99"/>
    <w:unhideWhenUsed/>
    <w:rsid w:val="00BC6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hop.akzonobel.hu/safety-document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B46D-C5C3-4A23-8FEA-4B81068C8122}">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7966</Characters>
  <Application>Microsoft Office Word</Application>
  <DocSecurity>4</DocSecurity>
  <Lines>66</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Levai</dc:creator>
  <cp:keywords/>
  <dc:description/>
  <cp:lastModifiedBy>Tamara Levai</cp:lastModifiedBy>
  <cp:revision>2</cp:revision>
  <dcterms:created xsi:type="dcterms:W3CDTF">2023-10-17T10:18:00Z</dcterms:created>
  <dcterms:modified xsi:type="dcterms:W3CDTF">2023-10-17T10:18:00Z</dcterms:modified>
</cp:coreProperties>
</file>